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jc w:val="center"/>
      </w:pPr>
      <w:r>
        <w:drawing>
          <wp:inline xmlns:a="http://schemas.openxmlformats.org/drawingml/2006/main" xmlns:pic="http://schemas.openxmlformats.org/drawingml/2006/picture">
            <wp:extent cx="1325880" cy="922351"/>
            <wp:docPr id="1" name="Picture 1"/>
            <wp:cNvGraphicFramePr>
              <a:graphicFrameLocks noChangeAspect="1"/>
            </wp:cNvGraphicFramePr>
            <a:graphic>
              <a:graphicData uri="http://schemas.openxmlformats.org/drawingml/2006/picture">
                <pic:pic>
                  <pic:nvPicPr>
                    <pic:cNvPr id="0" name="tx-logo.png"/>
                    <pic:cNvPicPr/>
                  </pic:nvPicPr>
                  <pic:blipFill>
                    <a:blip r:embed="rId11"/>
                    <a:stretch>
                      <a:fillRect/>
                    </a:stretch>
                  </pic:blipFill>
                  <pic:spPr>
                    <a:xfrm>
                      <a:off x="0" y="0"/>
                      <a:ext cx="1325880" cy="922351"/>
                    </a:xfrm>
                    <a:prstGeom prst="rect"/>
                  </pic:spPr>
                </pic:pic>
              </a:graphicData>
            </a:graphic>
          </wp:inline>
        </w:drawing>
      </w:r>
    </w:p>
    <w:p>
      <w:pPr>
        <w:pStyle w:val="Title"/>
        <w:jc w:val="center"/>
      </w:pPr>
      <w:r>
        <w:t>Marketing Plan &amp; Copy Library</w:t>
      </w:r>
    </w:p>
    <w:p>
      <w:pPr>
        <w:pStyle w:val="Subtitle"/>
        <w:jc w:val="center"/>
      </w:pPr>
      <w:r>
        <w:t>Compliance-first growth plan for courses, membership, commerce and community</w:t>
      </w:r>
    </w:p>
    <w:tbl>
      <w:tblPr>
        <w:tblStyle w:val="TableGrid"/>
        <w:tblW w:type="dxa" w:w="9360"/>
        <w:jc w:val="left"/>
        <w:tblLayout w:type="fixed"/>
        <w:tblLook w:firstColumn="1" w:firstRow="1" w:lastColumn="0" w:lastRow="0" w:noHBand="0" w:noVBand="1" w:val="04A0"/>
        <w:tblInd w:w="120" w:type="dxa"/>
      </w:tblPr>
      <w:tblGrid>
        <w:gridCol w:w="4680"/>
        <w:gridCol w:w="4680"/>
      </w:tblGrid>
      <w:tr>
        <w:tc>
          <w:tcPr>
            <w:tcW w:type="dxa" w:w="4680"/>
            <w:shd w:fill="EEF5F8"/>
          </w:tcPr>
          <w:p>
            <w:r/>
            <w:r>
              <w:rPr>
                <w:b/>
                <w:color w:val="0B6B91"/>
                <w:sz w:val="15"/>
              </w:rPr>
              <w:t>PREPARED FOR</w:t>
              <w:br/>
            </w:r>
            <w:r>
              <w:rPr>
                <w:sz w:val="19"/>
              </w:rPr>
              <w:t>TX Global Thinkers and Entrepreneurs</w:t>
            </w:r>
          </w:p>
        </w:tc>
        <w:tc>
          <w:tcPr>
            <w:tcW w:type="dxa" w:w="4680"/>
            <w:shd w:fill="EEF5F8"/>
          </w:tcPr>
          <w:p>
            <w:r/>
            <w:r>
              <w:rPr>
                <w:b/>
                <w:color w:val="0B6B91"/>
                <w:sz w:val="15"/>
              </w:rPr>
              <w:t>STATUS</w:t>
              <w:br/>
            </w:r>
            <w:r>
              <w:rPr>
                <w:sz w:val="19"/>
              </w:rPr>
              <w:t>Operational draft for review</w:t>
            </w:r>
          </w:p>
        </w:tc>
      </w:tr>
      <w:tr>
        <w:tc>
          <w:tcPr>
            <w:tcW w:type="dxa" w:w="4680"/>
            <w:shd w:fill="EEF5F8"/>
          </w:tcPr>
          <w:p>
            <w:r/>
            <w:r>
              <w:rPr>
                <w:b/>
                <w:color w:val="0B6B91"/>
                <w:sz w:val="15"/>
              </w:rPr>
              <w:t>DATE</w:t>
              <w:br/>
            </w:r>
            <w:r>
              <w:rPr>
                <w:sz w:val="19"/>
              </w:rPr>
              <w:t>September 2026</w:t>
            </w:r>
          </w:p>
        </w:tc>
        <w:tc>
          <w:tcPr>
            <w:tcW w:type="dxa" w:w="4680"/>
            <w:shd w:fill="EEF5F8"/>
          </w:tcPr>
          <w:p>
            <w:r/>
            <w:r>
              <w:rPr>
                <w:b/>
                <w:color w:val="0B6B91"/>
                <w:sz w:val="15"/>
              </w:rPr>
              <w:t>VERSION</w:t>
              <w:br/>
            </w:r>
            <w:r>
              <w:rPr>
                <w:sz w:val="19"/>
              </w:rPr>
              <w:t>1.0</w:t>
            </w:r>
          </w:p>
        </w:tc>
      </w:tr>
    </w:tbl>
    <w:p/>
    <w:p>
      <w:pPr>
        <w:pStyle w:val="Heading1"/>
      </w:pPr>
      <w:r>
        <w:t>Executive marketing objective</w:t>
      </w:r>
    </w:p>
    <w:p>
      <w:r>
        <w:t>Position TX Wealth Creation Ecosystem as a trusted education-and-enterprise platform that helps people learn practical skills, build genuine businesses, access markets and track verified progress. Growth should be driven by useful programs, customer outcomes and credible partnerships—not income promises or recruitment pressure.</w:t>
      </w:r>
    </w:p>
    <w:p>
      <w:pPr>
        <w:pStyle w:val="Heading1"/>
      </w:pPr>
      <w:r>
        <w:t>1. Brand platform</w:t>
      </w:r>
    </w:p>
    <w:tbl>
      <w:tblPr>
        <w:tblStyle w:val="TableGrid"/>
        <w:tblW w:type="dxa" w:w="9360"/>
        <w:jc w:val="left"/>
        <w:tblLayout w:type="fixed"/>
        <w:tblLook w:firstColumn="1" w:firstRow="1" w:lastColumn="0" w:lastRow="0" w:noHBand="0" w:noVBand="1" w:val="04A0"/>
        <w:tblInd w:w="120" w:type="dxa"/>
      </w:tblPr>
      <w:tblGrid>
        <w:gridCol w:w="2000"/>
        <w:gridCol w:w="7360"/>
      </w:tblGrid>
      <w:tr>
        <w:tc>
          <w:tcPr>
            <w:tcW w:type="dxa" w:w="2000"/>
            <w:shd w:fill="0B2239"/>
          </w:tcPr>
          <w:p>
            <w:r>
              <w:rPr>
                <w:b/>
                <w:color w:val="FFFFFF"/>
                <w:sz w:val="17"/>
              </w:rPr>
              <w:t>Element</w:t>
            </w:r>
          </w:p>
        </w:tc>
        <w:tc>
          <w:tcPr>
            <w:tcW w:type="dxa" w:w="7360"/>
            <w:shd w:fill="0B2239"/>
          </w:tcPr>
          <w:p>
            <w:r>
              <w:rPr>
                <w:b/>
                <w:color w:val="FFFFFF"/>
                <w:sz w:val="17"/>
              </w:rPr>
              <w:t>Approved direction</w:t>
            </w:r>
          </w:p>
        </w:tc>
      </w:tr>
      <w:tr>
        <w:tc>
          <w:tcPr>
            <w:tcW w:type="dxa" w:w="2000"/>
            <w:vAlign w:val="center"/>
          </w:tcPr>
          <w:p>
            <w:r>
              <w:rPr>
                <w:sz w:val="17"/>
              </w:rPr>
              <w:t>Purpose</w:t>
            </w:r>
          </w:p>
        </w:tc>
        <w:tc>
          <w:tcPr>
            <w:tcW w:type="dxa" w:w="7360"/>
            <w:vAlign w:val="center"/>
          </w:tcPr>
          <w:p>
            <w:r>
              <w:rPr>
                <w:sz w:val="17"/>
              </w:rPr>
              <w:t>Empower the next generation of thinkers, leaders and entrepreneurs.</w:t>
            </w:r>
          </w:p>
        </w:tc>
      </w:tr>
      <w:tr>
        <w:tc>
          <w:tcPr>
            <w:tcW w:type="dxa" w:w="2000"/>
            <w:vAlign w:val="center"/>
          </w:tcPr>
          <w:p>
            <w:r>
              <w:rPr>
                <w:sz w:val="17"/>
              </w:rPr>
              <w:t>Core promise</w:t>
            </w:r>
          </w:p>
        </w:tc>
        <w:tc>
          <w:tcPr>
            <w:tcW w:type="dxa" w:w="7360"/>
            <w:vAlign w:val="center"/>
          </w:tcPr>
          <w:p>
            <w:r>
              <w:rPr>
                <w:sz w:val="17"/>
              </w:rPr>
              <w:t>Practical learning, enterprise support and transparent member tools.</w:t>
            </w:r>
          </w:p>
        </w:tc>
      </w:tr>
      <w:tr>
        <w:tc>
          <w:tcPr>
            <w:tcW w:type="dxa" w:w="2000"/>
            <w:vAlign w:val="center"/>
          </w:tcPr>
          <w:p>
            <w:r>
              <w:rPr>
                <w:sz w:val="17"/>
              </w:rPr>
              <w:t>Primary line</w:t>
            </w:r>
          </w:p>
        </w:tc>
        <w:tc>
          <w:tcPr>
            <w:tcW w:type="dxa" w:w="7360"/>
            <w:vAlign w:val="center"/>
          </w:tcPr>
          <w:p>
            <w:r>
              <w:rPr>
                <w:sz w:val="17"/>
              </w:rPr>
              <w:t>Build. Save. Earn. Rise. Repeat.</w:t>
            </w:r>
          </w:p>
        </w:tc>
      </w:tr>
      <w:tr>
        <w:tc>
          <w:tcPr>
            <w:tcW w:type="dxa" w:w="2000"/>
            <w:vAlign w:val="center"/>
          </w:tcPr>
          <w:p>
            <w:r>
              <w:rPr>
                <w:sz w:val="17"/>
              </w:rPr>
              <w:t>Proof pillars</w:t>
            </w:r>
          </w:p>
        </w:tc>
        <w:tc>
          <w:tcPr>
            <w:tcW w:type="dxa" w:w="7360"/>
            <w:vAlign w:val="center"/>
          </w:tcPr>
          <w:p>
            <w:r>
              <w:rPr>
                <w:sz w:val="17"/>
              </w:rPr>
              <w:t>Expert programs; member back office; verified commerce; transparent records.</w:t>
            </w:r>
          </w:p>
        </w:tc>
      </w:tr>
      <w:tr>
        <w:tc>
          <w:tcPr>
            <w:tcW w:type="dxa" w:w="2000"/>
            <w:vAlign w:val="center"/>
          </w:tcPr>
          <w:p>
            <w:r>
              <w:rPr>
                <w:sz w:val="17"/>
              </w:rPr>
              <w:t>Tone</w:t>
            </w:r>
          </w:p>
        </w:tc>
        <w:tc>
          <w:tcPr>
            <w:tcW w:type="dxa" w:w="7360"/>
            <w:vAlign w:val="center"/>
          </w:tcPr>
          <w:p>
            <w:r>
              <w:rPr>
                <w:sz w:val="17"/>
              </w:rPr>
              <w:t>Ambitious, clear, respectful, practical and evidence-led.</w:t>
            </w:r>
          </w:p>
        </w:tc>
      </w:tr>
      <w:tr>
        <w:tc>
          <w:tcPr>
            <w:tcW w:type="dxa" w:w="2000"/>
            <w:vAlign w:val="center"/>
          </w:tcPr>
          <w:p>
            <w:r>
              <w:rPr>
                <w:sz w:val="17"/>
              </w:rPr>
              <w:t>Never claim</w:t>
            </w:r>
          </w:p>
        </w:tc>
        <w:tc>
          <w:tcPr>
            <w:tcW w:type="dxa" w:w="7360"/>
            <w:vAlign w:val="center"/>
          </w:tcPr>
          <w:p>
            <w:r>
              <w:rPr>
                <w:sz w:val="17"/>
              </w:rPr>
              <w:t>Guaranteed income, guaranteed sponsorship, investment returns, instant wealth or automatic board payout.</w:t>
            </w:r>
          </w:p>
        </w:tc>
      </w:tr>
    </w:tbl>
    <w:p/>
    <w:p>
      <w:pPr>
        <w:pStyle w:val="Heading1"/>
      </w:pPr>
      <w:r>
        <w:t>2. Priority audiences</w:t>
      </w:r>
    </w:p>
    <w:p>
      <w:pPr>
        <w:pStyle w:val="ListBullet"/>
      </w:pPr>
      <w:r>
        <w:t>Aspiring entrepreneurs seeking structure, mentors and business skills.</w:t>
      </w:r>
    </w:p>
    <w:p>
      <w:pPr>
        <w:pStyle w:val="ListBullet"/>
      </w:pPr>
      <w:r>
        <w:t>Micro and small-business owners seeking digital marketing, management and AI capability.</w:t>
      </w:r>
    </w:p>
    <w:p>
      <w:pPr>
        <w:pStyle w:val="ListBullet"/>
      </w:pPr>
      <w:r>
        <w:t>Young professionals seeking personal, financial and leadership development.</w:t>
      </w:r>
    </w:p>
    <w:p>
      <w:pPr>
        <w:pStyle w:val="ListBullet"/>
      </w:pPr>
      <w:r>
        <w:t>Institutions seeking entrepreneurship, GRC, AI and management training.</w:t>
      </w:r>
    </w:p>
    <w:p>
      <w:pPr>
        <w:pStyle w:val="ListBullet"/>
      </w:pPr>
      <w:r>
        <w:t>Qualified product and service providers seeking a verified member marketplace.</w:t>
      </w:r>
    </w:p>
    <w:p>
      <w:pPr>
        <w:pStyle w:val="Heading1"/>
      </w:pPr>
      <w:r>
        <w:t>3. Offer architecture</w:t>
      </w:r>
    </w:p>
    <w:tbl>
      <w:tblPr>
        <w:tblStyle w:val="TableGrid"/>
        <w:tblW w:type="dxa" w:w="9360"/>
        <w:jc w:val="left"/>
        <w:tblLayout w:type="fixed"/>
        <w:tblLook w:firstColumn="1" w:firstRow="1" w:lastColumn="0" w:lastRow="0" w:noHBand="0" w:noVBand="1" w:val="04A0"/>
        <w:tblInd w:w="120" w:type="dxa"/>
      </w:tblPr>
      <w:tblGrid>
        <w:gridCol w:w="2600"/>
        <w:gridCol w:w="4800"/>
        <w:gridCol w:w="1960"/>
      </w:tblGrid>
      <w:tr>
        <w:tc>
          <w:tcPr>
            <w:tcW w:type="dxa" w:w="2600"/>
            <w:shd w:fill="0B2239"/>
          </w:tcPr>
          <w:p>
            <w:r>
              <w:rPr>
                <w:b/>
                <w:color w:val="FFFFFF"/>
                <w:sz w:val="17"/>
              </w:rPr>
              <w:t>Offer</w:t>
            </w:r>
          </w:p>
        </w:tc>
        <w:tc>
          <w:tcPr>
            <w:tcW w:type="dxa" w:w="4800"/>
            <w:shd w:fill="0B2239"/>
          </w:tcPr>
          <w:p>
            <w:r>
              <w:rPr>
                <w:b/>
                <w:color w:val="FFFFFF"/>
                <w:sz w:val="17"/>
              </w:rPr>
              <w:t>Message</w:t>
            </w:r>
          </w:p>
        </w:tc>
        <w:tc>
          <w:tcPr>
            <w:tcW w:type="dxa" w:w="1960"/>
            <w:shd w:fill="0B2239"/>
          </w:tcPr>
          <w:p>
            <w:r>
              <w:rPr>
                <w:b/>
                <w:color w:val="FFFFFF"/>
                <w:sz w:val="17"/>
              </w:rPr>
              <w:t>Primary action</w:t>
            </w:r>
          </w:p>
        </w:tc>
      </w:tr>
      <w:tr>
        <w:tc>
          <w:tcPr>
            <w:tcW w:type="dxa" w:w="2600"/>
            <w:vAlign w:val="center"/>
          </w:tcPr>
          <w:p>
            <w:r>
              <w:rPr>
                <w:sz w:val="17"/>
              </w:rPr>
              <w:t>Standard Membership — US$150</w:t>
            </w:r>
          </w:p>
        </w:tc>
        <w:tc>
          <w:tcPr>
            <w:tcW w:type="dxa" w:w="4800"/>
            <w:vAlign w:val="center"/>
          </w:tcPr>
          <w:p>
            <w:r>
              <w:rPr>
                <w:sz w:val="17"/>
              </w:rPr>
              <w:t>Core seminars, courses and member back office; installment option</w:t>
            </w:r>
          </w:p>
        </w:tc>
        <w:tc>
          <w:tcPr>
            <w:tcW w:type="dxa" w:w="1960"/>
            <w:vAlign w:val="center"/>
          </w:tcPr>
          <w:p>
            <w:r>
              <w:rPr>
                <w:sz w:val="17"/>
              </w:rPr>
              <w:t>View membership</w:t>
            </w:r>
          </w:p>
        </w:tc>
      </w:tr>
      <w:tr>
        <w:tc>
          <w:tcPr>
            <w:tcW w:type="dxa" w:w="2600"/>
            <w:vAlign w:val="center"/>
          </w:tcPr>
          <w:p>
            <w:r>
              <w:rPr>
                <w:sz w:val="17"/>
              </w:rPr>
              <w:t>Combined Package — US$270</w:t>
            </w:r>
          </w:p>
        </w:tc>
        <w:tc>
          <w:tcPr>
            <w:tcW w:type="dxa" w:w="4800"/>
            <w:vAlign w:val="center"/>
          </w:tcPr>
          <w:p>
            <w:r>
              <w:rPr>
                <w:sz w:val="17"/>
              </w:rPr>
              <w:t>Expanded learning and enterprise support</w:t>
            </w:r>
          </w:p>
        </w:tc>
        <w:tc>
          <w:tcPr>
            <w:tcW w:type="dxa" w:w="1960"/>
            <w:vAlign w:val="center"/>
          </w:tcPr>
          <w:p>
            <w:r>
              <w:rPr>
                <w:sz w:val="17"/>
              </w:rPr>
              <w:t>Choose combined</w:t>
            </w:r>
          </w:p>
        </w:tc>
      </w:tr>
      <w:tr>
        <w:tc>
          <w:tcPr>
            <w:tcW w:type="dxa" w:w="2600"/>
            <w:vAlign w:val="center"/>
          </w:tcPr>
          <w:p>
            <w:r>
              <w:rPr>
                <w:sz w:val="17"/>
              </w:rPr>
              <w:t>TX GRC-IntelliGuard</w:t>
            </w:r>
          </w:p>
        </w:tc>
        <w:tc>
          <w:tcPr>
            <w:tcW w:type="dxa" w:w="4800"/>
            <w:vAlign w:val="center"/>
          </w:tcPr>
          <w:p>
            <w:r>
              <w:rPr>
                <w:sz w:val="17"/>
              </w:rPr>
              <w:t>Practical governance, risk and compliance training</w:t>
            </w:r>
          </w:p>
        </w:tc>
        <w:tc>
          <w:tcPr>
            <w:tcW w:type="dxa" w:w="1960"/>
            <w:vAlign w:val="center"/>
          </w:tcPr>
          <w:p>
            <w:r>
              <w:rPr>
                <w:sz w:val="17"/>
              </w:rPr>
              <w:t>Open course</w:t>
            </w:r>
          </w:p>
        </w:tc>
      </w:tr>
      <w:tr>
        <w:tc>
          <w:tcPr>
            <w:tcW w:type="dxa" w:w="2600"/>
            <w:vAlign w:val="center"/>
          </w:tcPr>
          <w:p>
            <w:r>
              <w:rPr>
                <w:sz w:val="17"/>
              </w:rPr>
              <w:t>Business Idea Coaching</w:t>
            </w:r>
          </w:p>
        </w:tc>
        <w:tc>
          <w:tcPr>
            <w:tcW w:type="dxa" w:w="4800"/>
            <w:vAlign w:val="center"/>
          </w:tcPr>
          <w:p>
            <w:r>
              <w:rPr>
                <w:sz w:val="17"/>
              </w:rPr>
              <w:t>Move from idea to validated proposition</w:t>
            </w:r>
          </w:p>
        </w:tc>
        <w:tc>
          <w:tcPr>
            <w:tcW w:type="dxa" w:w="1960"/>
            <w:vAlign w:val="center"/>
          </w:tcPr>
          <w:p>
            <w:r>
              <w:rPr>
                <w:sz w:val="17"/>
              </w:rPr>
              <w:t>Request coaching</w:t>
            </w:r>
          </w:p>
        </w:tc>
      </w:tr>
      <w:tr>
        <w:tc>
          <w:tcPr>
            <w:tcW w:type="dxa" w:w="2600"/>
            <w:vAlign w:val="center"/>
          </w:tcPr>
          <w:p>
            <w:r>
              <w:rPr>
                <w:sz w:val="17"/>
              </w:rPr>
              <w:t>Partner Store</w:t>
            </w:r>
          </w:p>
        </w:tc>
        <w:tc>
          <w:tcPr>
            <w:tcW w:type="dxa" w:w="4800"/>
            <w:vAlign w:val="center"/>
          </w:tcPr>
          <w:p>
            <w:r>
              <w:rPr>
                <w:sz w:val="17"/>
              </w:rPr>
              <w:t>Discover verified learning, products and services</w:t>
            </w:r>
          </w:p>
        </w:tc>
        <w:tc>
          <w:tcPr>
            <w:tcW w:type="dxa" w:w="1960"/>
            <w:vAlign w:val="center"/>
          </w:tcPr>
          <w:p>
            <w:r>
              <w:rPr>
                <w:sz w:val="17"/>
              </w:rPr>
              <w:t>Explore store</w:t>
            </w:r>
          </w:p>
        </w:tc>
      </w:tr>
    </w:tbl>
    <w:p/>
    <w:p>
      <w:pPr>
        <w:pStyle w:val="Heading1"/>
      </w:pPr>
      <w:r>
        <w:t>4. Channel plan</w:t>
      </w:r>
    </w:p>
    <w:tbl>
      <w:tblPr>
        <w:tblStyle w:val="TableGrid"/>
        <w:tblW w:type="dxa" w:w="9360"/>
        <w:jc w:val="left"/>
        <w:tblLayout w:type="fixed"/>
        <w:tblLook w:firstColumn="1" w:firstRow="1" w:lastColumn="0" w:lastRow="0" w:noHBand="0" w:noVBand="1" w:val="04A0"/>
        <w:tblInd w:w="120" w:type="dxa"/>
      </w:tblPr>
      <w:tblGrid>
        <w:gridCol w:w="1800"/>
        <w:gridCol w:w="3300"/>
        <w:gridCol w:w="1600"/>
        <w:gridCol w:w="2660"/>
      </w:tblGrid>
      <w:tr>
        <w:tc>
          <w:tcPr>
            <w:tcW w:type="dxa" w:w="1800"/>
            <w:shd w:fill="0B2239"/>
          </w:tcPr>
          <w:p>
            <w:r>
              <w:rPr>
                <w:b/>
                <w:color w:val="FFFFFF"/>
                <w:sz w:val="17"/>
              </w:rPr>
              <w:t>Channel</w:t>
            </w:r>
          </w:p>
        </w:tc>
        <w:tc>
          <w:tcPr>
            <w:tcW w:type="dxa" w:w="3300"/>
            <w:shd w:fill="0B2239"/>
          </w:tcPr>
          <w:p>
            <w:r>
              <w:rPr>
                <w:b/>
                <w:color w:val="FFFFFF"/>
                <w:sz w:val="17"/>
              </w:rPr>
              <w:t>Content</w:t>
            </w:r>
          </w:p>
        </w:tc>
        <w:tc>
          <w:tcPr>
            <w:tcW w:type="dxa" w:w="1600"/>
            <w:shd w:fill="0B2239"/>
          </w:tcPr>
          <w:p>
            <w:r>
              <w:rPr>
                <w:b/>
                <w:color w:val="FFFFFF"/>
                <w:sz w:val="17"/>
              </w:rPr>
              <w:t>Cadence</w:t>
            </w:r>
          </w:p>
        </w:tc>
        <w:tc>
          <w:tcPr>
            <w:tcW w:type="dxa" w:w="2660"/>
            <w:shd w:fill="0B2239"/>
          </w:tcPr>
          <w:p>
            <w:r>
              <w:rPr>
                <w:b/>
                <w:color w:val="FFFFFF"/>
                <w:sz w:val="17"/>
              </w:rPr>
              <w:t>Measure</w:t>
            </w:r>
          </w:p>
        </w:tc>
      </w:tr>
      <w:tr>
        <w:tc>
          <w:tcPr>
            <w:tcW w:type="dxa" w:w="1800"/>
            <w:vAlign w:val="center"/>
          </w:tcPr>
          <w:p>
            <w:r>
              <w:rPr>
                <w:sz w:val="17"/>
              </w:rPr>
              <w:t>Website</w:t>
            </w:r>
          </w:p>
        </w:tc>
        <w:tc>
          <w:tcPr>
            <w:tcW w:type="dxa" w:w="3300"/>
            <w:vAlign w:val="center"/>
          </w:tcPr>
          <w:p>
            <w:r>
              <w:rPr>
                <w:sz w:val="17"/>
              </w:rPr>
              <w:t>Programs, packages, member tools, disclosures</w:t>
            </w:r>
          </w:p>
        </w:tc>
        <w:tc>
          <w:tcPr>
            <w:tcW w:type="dxa" w:w="1600"/>
            <w:vAlign w:val="center"/>
          </w:tcPr>
          <w:p>
            <w:r>
              <w:rPr>
                <w:sz w:val="17"/>
              </w:rPr>
              <w:t>Always on</w:t>
            </w:r>
          </w:p>
        </w:tc>
        <w:tc>
          <w:tcPr>
            <w:tcW w:type="dxa" w:w="2660"/>
            <w:vAlign w:val="center"/>
          </w:tcPr>
          <w:p>
            <w:r>
              <w:rPr>
                <w:sz w:val="17"/>
              </w:rPr>
              <w:t>Qualified registrations</w:t>
            </w:r>
          </w:p>
        </w:tc>
      </w:tr>
      <w:tr>
        <w:tc>
          <w:tcPr>
            <w:tcW w:type="dxa" w:w="1800"/>
            <w:vAlign w:val="center"/>
          </w:tcPr>
          <w:p>
            <w:r>
              <w:rPr>
                <w:sz w:val="17"/>
              </w:rPr>
              <w:t>Email/WhatsApp</w:t>
            </w:r>
          </w:p>
        </w:tc>
        <w:tc>
          <w:tcPr>
            <w:tcW w:type="dxa" w:w="3300"/>
            <w:vAlign w:val="center"/>
          </w:tcPr>
          <w:p>
            <w:r>
              <w:rPr>
                <w:sz w:val="17"/>
              </w:rPr>
              <w:t>Invitations, class reminders, case studies</w:t>
            </w:r>
          </w:p>
        </w:tc>
        <w:tc>
          <w:tcPr>
            <w:tcW w:type="dxa" w:w="1600"/>
            <w:vAlign w:val="center"/>
          </w:tcPr>
          <w:p>
            <w:r>
              <w:rPr>
                <w:sz w:val="17"/>
              </w:rPr>
              <w:t>1–2 weekly</w:t>
            </w:r>
          </w:p>
        </w:tc>
        <w:tc>
          <w:tcPr>
            <w:tcW w:type="dxa" w:w="2660"/>
            <w:vAlign w:val="center"/>
          </w:tcPr>
          <w:p>
            <w:r>
              <w:rPr>
                <w:sz w:val="17"/>
              </w:rPr>
              <w:t>Clicks and attendance</w:t>
            </w:r>
          </w:p>
        </w:tc>
      </w:tr>
      <w:tr>
        <w:tc>
          <w:tcPr>
            <w:tcW w:type="dxa" w:w="1800"/>
            <w:vAlign w:val="center"/>
          </w:tcPr>
          <w:p>
            <w:r>
              <w:rPr>
                <w:sz w:val="17"/>
              </w:rPr>
              <w:t>Social media</w:t>
            </w:r>
          </w:p>
        </w:tc>
        <w:tc>
          <w:tcPr>
            <w:tcW w:type="dxa" w:w="3300"/>
            <w:vAlign w:val="center"/>
          </w:tcPr>
          <w:p>
            <w:r>
              <w:rPr>
                <w:sz w:val="17"/>
              </w:rPr>
              <w:t>Short lessons, facilitator clips, member business stories</w:t>
            </w:r>
          </w:p>
        </w:tc>
        <w:tc>
          <w:tcPr>
            <w:tcW w:type="dxa" w:w="1600"/>
            <w:vAlign w:val="center"/>
          </w:tcPr>
          <w:p>
            <w:r>
              <w:rPr>
                <w:sz w:val="17"/>
              </w:rPr>
              <w:t>3–5 weekly</w:t>
            </w:r>
          </w:p>
        </w:tc>
        <w:tc>
          <w:tcPr>
            <w:tcW w:type="dxa" w:w="2660"/>
            <w:vAlign w:val="center"/>
          </w:tcPr>
          <w:p>
            <w:r>
              <w:rPr>
                <w:sz w:val="17"/>
              </w:rPr>
              <w:t>Saves, leads, completions</w:t>
            </w:r>
          </w:p>
        </w:tc>
      </w:tr>
      <w:tr>
        <w:tc>
          <w:tcPr>
            <w:tcW w:type="dxa" w:w="1800"/>
            <w:vAlign w:val="center"/>
          </w:tcPr>
          <w:p>
            <w:r>
              <w:rPr>
                <w:sz w:val="17"/>
              </w:rPr>
              <w:t>Webinars</w:t>
            </w:r>
          </w:p>
        </w:tc>
        <w:tc>
          <w:tcPr>
            <w:tcW w:type="dxa" w:w="3300"/>
            <w:vAlign w:val="center"/>
          </w:tcPr>
          <w:p>
            <w:r>
              <w:rPr>
                <w:sz w:val="17"/>
              </w:rPr>
              <w:t>Free practical masterclasses</w:t>
            </w:r>
          </w:p>
        </w:tc>
        <w:tc>
          <w:tcPr>
            <w:tcW w:type="dxa" w:w="1600"/>
            <w:vAlign w:val="center"/>
          </w:tcPr>
          <w:p>
            <w:r>
              <w:rPr>
                <w:sz w:val="17"/>
              </w:rPr>
              <w:t>2 monthly</w:t>
            </w:r>
          </w:p>
        </w:tc>
        <w:tc>
          <w:tcPr>
            <w:tcW w:type="dxa" w:w="2660"/>
            <w:vAlign w:val="center"/>
          </w:tcPr>
          <w:p>
            <w:r>
              <w:rPr>
                <w:sz w:val="17"/>
              </w:rPr>
              <w:t>Attendance to enrollment</w:t>
            </w:r>
          </w:p>
        </w:tc>
      </w:tr>
      <w:tr>
        <w:tc>
          <w:tcPr>
            <w:tcW w:type="dxa" w:w="1800"/>
            <w:vAlign w:val="center"/>
          </w:tcPr>
          <w:p>
            <w:r>
              <w:rPr>
                <w:sz w:val="17"/>
              </w:rPr>
              <w:t>Partners</w:t>
            </w:r>
          </w:p>
        </w:tc>
        <w:tc>
          <w:tcPr>
            <w:tcW w:type="dxa" w:w="3300"/>
            <w:vAlign w:val="center"/>
          </w:tcPr>
          <w:p>
            <w:r>
              <w:rPr>
                <w:sz w:val="17"/>
              </w:rPr>
              <w:t>Cohort recruitment and institutional offers</w:t>
            </w:r>
          </w:p>
        </w:tc>
        <w:tc>
          <w:tcPr>
            <w:tcW w:type="dxa" w:w="1600"/>
            <w:vAlign w:val="center"/>
          </w:tcPr>
          <w:p>
            <w:r>
              <w:rPr>
                <w:sz w:val="17"/>
              </w:rPr>
              <w:t>Monthly outreach</w:t>
            </w:r>
          </w:p>
        </w:tc>
        <w:tc>
          <w:tcPr>
            <w:tcW w:type="dxa" w:w="2660"/>
            <w:vAlign w:val="center"/>
          </w:tcPr>
          <w:p>
            <w:r>
              <w:rPr>
                <w:sz w:val="17"/>
              </w:rPr>
              <w:t>Qualified partnerships</w:t>
            </w:r>
          </w:p>
        </w:tc>
      </w:tr>
      <w:tr>
        <w:tc>
          <w:tcPr>
            <w:tcW w:type="dxa" w:w="1800"/>
            <w:vAlign w:val="center"/>
          </w:tcPr>
          <w:p>
            <w:r>
              <w:rPr>
                <w:sz w:val="17"/>
              </w:rPr>
              <w:t>Member advocacy</w:t>
            </w:r>
          </w:p>
        </w:tc>
        <w:tc>
          <w:tcPr>
            <w:tcW w:type="dxa" w:w="3300"/>
            <w:vAlign w:val="center"/>
          </w:tcPr>
          <w:p>
            <w:r>
              <w:rPr>
                <w:sz w:val="17"/>
              </w:rPr>
              <w:t>Course/service referrals with compliant copy</w:t>
            </w:r>
          </w:p>
        </w:tc>
        <w:tc>
          <w:tcPr>
            <w:tcW w:type="dxa" w:w="1600"/>
            <w:vAlign w:val="center"/>
          </w:tcPr>
          <w:p>
            <w:r>
              <w:rPr>
                <w:sz w:val="17"/>
              </w:rPr>
              <w:t>After verified value</w:t>
            </w:r>
          </w:p>
        </w:tc>
        <w:tc>
          <w:tcPr>
            <w:tcW w:type="dxa" w:w="2660"/>
            <w:vAlign w:val="center"/>
          </w:tcPr>
          <w:p>
            <w:r>
              <w:rPr>
                <w:sz w:val="17"/>
              </w:rPr>
              <w:t>Conversion and complaints</w:t>
            </w:r>
          </w:p>
        </w:tc>
      </w:tr>
    </w:tbl>
    <w:p/>
    <w:p>
      <w:pPr>
        <w:pStyle w:val="Heading1"/>
      </w:pPr>
      <w:r>
        <w:t>5. Ninety-day campaign</w:t>
      </w:r>
    </w:p>
    <w:p>
      <w:pPr>
        <w:pStyle w:val="ListNumber"/>
      </w:pPr>
      <w:r>
        <w:t>Weeks 1–2: publish program pages, facilitator evidence, FAQs, Terms, Privacy and earnings disclosure.</w:t>
      </w:r>
    </w:p>
    <w:p>
      <w:pPr>
        <w:pStyle w:val="ListNumber"/>
      </w:pPr>
      <w:r>
        <w:t>Weeks 3–4: launch a free “Think, Build, Save” masterclass and waitlist.</w:t>
      </w:r>
    </w:p>
    <w:p>
      <w:pPr>
        <w:pStyle w:val="ListNumber"/>
      </w:pPr>
      <w:r>
        <w:t>Month 2: open a pilot cohort; collect learning outcomes and approved testimonials.</w:t>
      </w:r>
    </w:p>
    <w:p>
      <w:pPr>
        <w:pStyle w:val="ListNumber"/>
      </w:pPr>
      <w:r>
        <w:t>Month 3: launch TX GRC-IntelliGuard, business coaching intake and verified partner applications.</w:t>
      </w:r>
    </w:p>
    <w:p>
      <w:pPr>
        <w:pStyle w:val="ListNumber"/>
      </w:pPr>
      <w:r>
        <w:t>Every week: review claims, complaints, conversion quality and member-support themes.</w:t>
      </w:r>
    </w:p>
    <w:p>
      <w:pPr>
        <w:pStyle w:val="Heading1"/>
      </w:pPr>
      <w:r>
        <w:t>6. Homepage copy</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EF5F8"/>
          </w:tcPr>
          <w:p>
            <w:r>
              <w:rPr>
                <w:b/>
                <w:color w:val="0B6B91"/>
              </w:rPr>
              <w:t>Hero headline</w:t>
              <w:br/>
            </w:r>
            <w:r>
              <w:t>Build. Save. Earn. Rise. Repeat.</w:t>
            </w:r>
          </w:p>
        </w:tc>
      </w:tr>
    </w:tbl>
    <w:p/>
    <w:p>
      <w:r>
        <w:t>Subheadline: Join TX Global Thinkers and Entrepreneurs to develop practical skills, build a market-ready business, strengthen responsible financial habits, and track verified progress through one transparent member portal.</w:t>
      </w:r>
    </w:p>
    <w:p>
      <w:r>
        <w:t>Primary CTA: Explore membership</w:t>
      </w:r>
    </w:p>
    <w:p>
      <w:r>
        <w:t>Secondary CTA: Open member portal</w:t>
      </w:r>
    </w:p>
    <w:p>
      <w:r>
        <w:t>Disclosure: Membership and training do not guarantee income, sponsorship, investment returns, savings outcomes, housing, healthcare or board completion.</w:t>
      </w:r>
    </w:p>
    <w:p>
      <w:pPr>
        <w:pStyle w:val="Heading1"/>
      </w:pPr>
      <w:r>
        <w:t>7. Membership copy</w:t>
      </w:r>
    </w:p>
    <w:p>
      <w:r>
        <w:t>Standard — US$150 or disclosed GHS equivalent. Access core seminars, courses and the member back office. Eligible members may complete the fee in three US$50 monthly installments and qualify for the next scheduled training after full payment, subject to current terms.</w:t>
      </w:r>
    </w:p>
    <w:p>
      <w:r>
        <w:t>Combined — US$270 or disclosed GHS equivalent. Our recommended expanded package for members who want broader learning and enterprise-support access. Review the current inclusions before payment.</w:t>
      </w:r>
    </w:p>
    <w:p>
      <w:pPr>
        <w:pStyle w:val="Heading1"/>
      </w:pPr>
      <w:r>
        <w:t>8. Course copy</w:t>
      </w:r>
    </w:p>
    <w:p>
      <w:r>
        <w:t>TX GRC-IntelliGuard helps professionals and entrepreneurs understand governance, risk, compliance, intelligent controls, policy management and responsible technology oversight. Learn through six practical modules and track progress from your member account.</w:t>
      </w:r>
    </w:p>
    <w:p>
      <w:pPr>
        <w:pStyle w:val="Heading1"/>
      </w:pPr>
      <w:r>
        <w:t>9. Social media copy bank</w:t>
      </w:r>
    </w:p>
    <w:p>
      <w:pPr>
        <w:pStyle w:val="Heading2"/>
      </w:pPr>
      <w:r>
        <w:t>Launch</w:t>
      </w:r>
    </w:p>
    <w:p>
      <w:r>
        <w:t>Your next business breakthrough starts with stronger thinking and better systems. Learn practical entrepreneurship, management, AI and financial skills with TX Global Thinkers and Entrepreneurs. Explore the programs today.</w:t>
      </w:r>
    </w:p>
    <w:p>
      <w:pPr>
        <w:pStyle w:val="Heading2"/>
      </w:pPr>
      <w:r>
        <w:t>Portal</w:t>
      </w:r>
    </w:p>
    <w:p>
      <w:r>
        <w:t>Your TX member portal brings verified earnings status, board progress, referrals, courses and benefits into one clear view. Projected is not paid; every eligible activity is reviewed before approval.</w:t>
      </w:r>
    </w:p>
    <w:p>
      <w:pPr>
        <w:pStyle w:val="Heading2"/>
      </w:pPr>
      <w:r>
        <w:t>GRC course</w:t>
      </w:r>
    </w:p>
    <w:p>
      <w:r>
        <w:t>Good governance is not only for large companies. TX GRC-IntelliGuard teaches practical risk, compliance and responsible technology controls for modern organizations.</w:t>
      </w:r>
    </w:p>
    <w:p>
      <w:pPr>
        <w:pStyle w:val="Heading2"/>
      </w:pPr>
      <w:r>
        <w:t>Membership</w:t>
      </w:r>
    </w:p>
    <w:p>
      <w:r>
        <w:t>Choose Standard membership at US$150 or the recommended Combined package at US$270, with a disclosed Ghana-cedi equivalent. Review inclusions, terms and payment information before enrolling.</w:t>
      </w:r>
    </w:p>
    <w:p>
      <w:pPr>
        <w:pStyle w:val="Heading2"/>
      </w:pPr>
      <w:r>
        <w:t>Entrepreneurship</w:t>
      </w:r>
    </w:p>
    <w:p>
      <w:r>
        <w:t>An idea becomes a business through customer insight, useful value and consistent execution. Build those skills with TX Wealth Creation Ecosystem.</w:t>
      </w:r>
    </w:p>
    <w:p>
      <w:pPr>
        <w:pStyle w:val="Heading2"/>
      </w:pPr>
      <w:r>
        <w:t>Savings readiness</w:t>
      </w:r>
    </w:p>
    <w:p>
      <w:r>
        <w:t>Ant Susu is being designed for flexible daily, weekly and monthly saving. It will activate only through an approved regulated provider with clear fees and withdrawal rules.</w:t>
      </w:r>
    </w:p>
    <w:p>
      <w:pPr>
        <w:pStyle w:val="Heading1"/>
      </w:pPr>
      <w:r>
        <w:t>10. Referral invitation templates</w:t>
      </w:r>
    </w:p>
    <w:p>
      <w:r>
        <w:t>Short message: I’m learning with TX Global Thinkers and Entrepreneurs. Here is my personal link if you want to review the programs and membership information: [REFERRAL LINK]. Please use your own ChatGPT account when registering. Membership does not guarantee earnings.</w:t>
      </w:r>
    </w:p>
    <w:p>
      <w:r>
        <w:t>Professional message: TX Wealth Creation Ecosystem offers practical training in personal development, digital business, management, investment education, social development, AI and GRC. You can review the current packages and register through my sponsor link: [REFERRAL LINK]. Please read the terms and disclosures before joining.</w:t>
      </w:r>
    </w:p>
    <w:p>
      <w:pPr>
        <w:pStyle w:val="Heading1"/>
      </w:pPr>
      <w:r>
        <w:t>11. Email campaign</w:t>
      </w:r>
    </w:p>
    <w:p>
      <w:pPr>
        <w:pStyle w:val="Heading2"/>
      </w:pPr>
      <w:r>
        <w:t>Subject: Turn your business idea into a practical plan</w:t>
      </w:r>
    </w:p>
    <w:p>
      <w:r>
        <w:t>You do not need more hype—you need a clear customer, a useful offer and a repeatable way to deliver. TX programs bring practical learning, coaching and a member back office together. Explore the next program and decide whether it fits your goals.</w:t>
      </w:r>
    </w:p>
    <w:p>
      <w:r>
        <w:t>CTA: Learn more</w:t>
      </w:r>
    </w:p>
    <w:p>
      <w:pPr>
        <w:pStyle w:val="Heading2"/>
      </w:pPr>
      <w:r>
        <w:t>Subject: Inside your updated TX member portal</w:t>
      </w:r>
    </w:p>
    <w:p>
      <w:r>
        <w:t>Your portal now shows verified earnings statuses, five-board progress, referrals, benefits, TX GRC-IntelliGuard and Ant Susu readiness. Sign in to review your current records. Earnings are not guaranteed and only verified activity appears in your ledger.</w:t>
      </w:r>
    </w:p>
    <w:p>
      <w:r>
        <w:t>CTA: Learn more</w:t>
      </w:r>
    </w:p>
    <w:p>
      <w:pPr>
        <w:pStyle w:val="Heading2"/>
      </w:pPr>
      <w:r>
        <w:t>Subject: Build governance into your business early</w:t>
      </w:r>
    </w:p>
    <w:p>
      <w:r>
        <w:t>Strong businesses manage risk before problems become expensive. TX GRC-IntelliGuard provides a practical introduction to governance, compliance, intelligent controls and responsible technology. Open the course from the member store.</w:t>
      </w:r>
    </w:p>
    <w:p>
      <w:r>
        <w:t>CTA: Learn more</w:t>
      </w:r>
    </w:p>
    <w:p>
      <w:pPr>
        <w:pStyle w:val="Heading1"/>
      </w:pPr>
      <w:r>
        <w:t>12. Sales conversation guide</w:t>
      </w:r>
    </w:p>
    <w:p>
      <w:pPr>
        <w:pStyle w:val="ListBullet"/>
      </w:pPr>
      <w:r>
        <w:t>Ask about the prospect’s learning, business or professional goals.</w:t>
      </w:r>
    </w:p>
    <w:p>
      <w:pPr>
        <w:pStyle w:val="ListBullet"/>
      </w:pPr>
      <w:r>
        <w:t>Explain the relevant program outcome and what is currently included.</w:t>
      </w:r>
    </w:p>
    <w:p>
      <w:pPr>
        <w:pStyle w:val="ListBullet"/>
      </w:pPr>
      <w:r>
        <w:t>Show the USD price and disclosed GHS equivalent without inventing an exchange rate.</w:t>
      </w:r>
    </w:p>
    <w:p>
      <w:pPr>
        <w:pStyle w:val="ListBullet"/>
      </w:pPr>
      <w:r>
        <w:t>Explain that referral and board views track relationships and progress; they do not guarantee income.</w:t>
      </w:r>
    </w:p>
    <w:p>
      <w:pPr>
        <w:pStyle w:val="ListBullet"/>
      </w:pPr>
      <w:r>
        <w:t>Invite the prospect to read the Terms, Privacy Notice and refund rules.</w:t>
      </w:r>
    </w:p>
    <w:p>
      <w:pPr>
        <w:pStyle w:val="ListBullet"/>
      </w:pPr>
      <w:r>
        <w:t>Send the personal referral link; the prospect must register with their own account.</w:t>
      </w:r>
    </w:p>
    <w:p>
      <w:pPr>
        <w:pStyle w:val="Heading1"/>
      </w:pPr>
      <w:r>
        <w:t>13. Claims guardrails</w:t>
      </w:r>
    </w:p>
    <w:tbl>
      <w:tblPr>
        <w:tblStyle w:val="TableGrid"/>
        <w:tblW w:type="dxa" w:w="9360"/>
        <w:jc w:val="left"/>
        <w:tblLayout w:type="fixed"/>
        <w:tblLook w:firstColumn="1" w:firstRow="1" w:lastColumn="0" w:lastRow="0" w:noHBand="0" w:noVBand="1" w:val="04A0"/>
        <w:tblInd w:w="120" w:type="dxa"/>
      </w:tblPr>
      <w:tblGrid>
        <w:gridCol w:w="3600"/>
        <w:gridCol w:w="5760"/>
      </w:tblGrid>
      <w:tr>
        <w:tc>
          <w:tcPr>
            <w:tcW w:type="dxa" w:w="3600"/>
            <w:shd w:fill="0B2239"/>
          </w:tcPr>
          <w:p>
            <w:r>
              <w:rPr>
                <w:b/>
                <w:color w:val="FFFFFF"/>
                <w:sz w:val="17"/>
              </w:rPr>
              <w:t>Avoid</w:t>
            </w:r>
          </w:p>
        </w:tc>
        <w:tc>
          <w:tcPr>
            <w:tcW w:type="dxa" w:w="5760"/>
            <w:shd w:fill="0B2239"/>
          </w:tcPr>
          <w:p>
            <w:r>
              <w:rPr>
                <w:b/>
                <w:color w:val="FFFFFF"/>
                <w:sz w:val="17"/>
              </w:rPr>
              <w:t>Use instead</w:t>
            </w:r>
          </w:p>
        </w:tc>
      </w:tr>
      <w:tr>
        <w:tc>
          <w:tcPr>
            <w:tcW w:type="dxa" w:w="3600"/>
            <w:vAlign w:val="center"/>
          </w:tcPr>
          <w:p>
            <w:r>
              <w:rPr>
                <w:sz w:val="17"/>
              </w:rPr>
              <w:t>“Guaranteed earnings”</w:t>
            </w:r>
          </w:p>
        </w:tc>
        <w:tc>
          <w:tcPr>
            <w:tcW w:type="dxa" w:w="5760"/>
            <w:vAlign w:val="center"/>
          </w:tcPr>
          <w:p>
            <w:r>
              <w:rPr>
                <w:sz w:val="17"/>
              </w:rPr>
              <w:t>“Track eligible activity through projected, pending, approved and paid statuses.”</w:t>
            </w:r>
          </w:p>
        </w:tc>
      </w:tr>
      <w:tr>
        <w:tc>
          <w:tcPr>
            <w:tcW w:type="dxa" w:w="3600"/>
            <w:vAlign w:val="center"/>
          </w:tcPr>
          <w:p>
            <w:r>
              <w:rPr>
                <w:sz w:val="17"/>
              </w:rPr>
              <w:t>“Recruit two and get paid”</w:t>
            </w:r>
          </w:p>
        </w:tc>
        <w:tc>
          <w:tcPr>
            <w:tcW w:type="dxa" w:w="5760"/>
            <w:vAlign w:val="center"/>
          </w:tcPr>
          <w:p>
            <w:r>
              <w:rPr>
                <w:sz w:val="17"/>
              </w:rPr>
              <w:t>“Referral attribution is recorded; introducing a person alone does not create compensation.”</w:t>
            </w:r>
          </w:p>
        </w:tc>
      </w:tr>
      <w:tr>
        <w:tc>
          <w:tcPr>
            <w:tcW w:type="dxa" w:w="3600"/>
            <w:vAlign w:val="center"/>
          </w:tcPr>
          <w:p>
            <w:r>
              <w:rPr>
                <w:sz w:val="17"/>
              </w:rPr>
              <w:t>“Your savings are safe with us”</w:t>
            </w:r>
          </w:p>
        </w:tc>
        <w:tc>
          <w:tcPr>
            <w:tcW w:type="dxa" w:w="5760"/>
            <w:vAlign w:val="center"/>
          </w:tcPr>
          <w:p>
            <w:r>
              <w:rPr>
                <w:sz w:val="17"/>
              </w:rPr>
              <w:t>“Ant Susu will activate only through an approved regulated provider.”</w:t>
            </w:r>
          </w:p>
        </w:tc>
      </w:tr>
      <w:tr>
        <w:tc>
          <w:tcPr>
            <w:tcW w:type="dxa" w:w="3600"/>
            <w:vAlign w:val="center"/>
          </w:tcPr>
          <w:p>
            <w:r>
              <w:rPr>
                <w:sz w:val="17"/>
              </w:rPr>
              <w:t>“Investment opportunity”</w:t>
            </w:r>
          </w:p>
        </w:tc>
        <w:tc>
          <w:tcPr>
            <w:tcW w:type="dxa" w:w="5760"/>
            <w:vAlign w:val="center"/>
          </w:tcPr>
          <w:p>
            <w:r>
              <w:rPr>
                <w:sz w:val="17"/>
              </w:rPr>
              <w:t>“Education and enterprise-support membership.”</w:t>
            </w:r>
          </w:p>
        </w:tc>
      </w:tr>
      <w:tr>
        <w:tc>
          <w:tcPr>
            <w:tcW w:type="dxa" w:w="3600"/>
            <w:vAlign w:val="center"/>
          </w:tcPr>
          <w:p>
            <w:r>
              <w:rPr>
                <w:sz w:val="17"/>
              </w:rPr>
              <w:t>“Everyone succeeds”</w:t>
            </w:r>
          </w:p>
        </w:tc>
        <w:tc>
          <w:tcPr>
            <w:tcW w:type="dxa" w:w="5760"/>
            <w:vAlign w:val="center"/>
          </w:tcPr>
          <w:p>
            <w:r>
              <w:rPr>
                <w:sz w:val="17"/>
              </w:rPr>
              <w:t>“Outcomes vary and depend on participation, demand, skills and execution.”</w:t>
            </w:r>
          </w:p>
        </w:tc>
      </w:tr>
      <w:tr>
        <w:tc>
          <w:tcPr>
            <w:tcW w:type="dxa" w:w="3600"/>
            <w:vAlign w:val="center"/>
          </w:tcPr>
          <w:p>
            <w:r>
              <w:rPr>
                <w:sz w:val="17"/>
              </w:rPr>
              <w:t>“Future hospital/house included”</w:t>
            </w:r>
          </w:p>
        </w:tc>
        <w:tc>
          <w:tcPr>
            <w:tcW w:type="dxa" w:w="5760"/>
            <w:vAlign w:val="center"/>
          </w:tcPr>
          <w:p>
            <w:r>
              <w:rPr>
                <w:sz w:val="17"/>
              </w:rPr>
              <w:t>“Healthcare and housing are future proposals, not current entitlements.”</w:t>
            </w:r>
          </w:p>
        </w:tc>
      </w:tr>
    </w:tbl>
    <w:p/>
    <w:p>
      <w:pPr>
        <w:pStyle w:val="Heading1"/>
      </w:pPr>
      <w:r>
        <w:t>14. Measurement dashboard</w:t>
      </w:r>
    </w:p>
    <w:p>
      <w:pPr>
        <w:pStyle w:val="ListBullet"/>
      </w:pPr>
      <w:r>
        <w:t>Qualified leads and registrations by channel.</w:t>
      </w:r>
    </w:p>
    <w:p>
      <w:pPr>
        <w:pStyle w:val="ListBullet"/>
      </w:pPr>
      <w:r>
        <w:t>Paid enrollment conversion and refund rate.</w:t>
      </w:r>
    </w:p>
    <w:p>
      <w:pPr>
        <w:pStyle w:val="ListBullet"/>
      </w:pPr>
      <w:r>
        <w:t>Course attendance, completion and satisfaction.</w:t>
      </w:r>
    </w:p>
    <w:p>
      <w:pPr>
        <w:pStyle w:val="ListBullet"/>
      </w:pPr>
      <w:r>
        <w:t>Coaching applications and business milestones.</w:t>
      </w:r>
    </w:p>
    <w:p>
      <w:pPr>
        <w:pStyle w:val="ListBullet"/>
      </w:pPr>
      <w:r>
        <w:t>Retail/service revenue share versus membership revenue.</w:t>
      </w:r>
    </w:p>
    <w:p>
      <w:pPr>
        <w:pStyle w:val="ListBullet"/>
      </w:pPr>
      <w:r>
        <w:t>Complaint, spam, misleading-claim and referral-quality indicators.</w:t>
      </w:r>
    </w:p>
    <w:p>
      <w:pPr>
        <w:pStyle w:val="ListBullet"/>
      </w:pPr>
      <w:r>
        <w:t>Partner due-diligence pass rate and marketplace fulfillment quality.</w:t>
      </w:r>
    </w:p>
    <w:p>
      <w:pPr>
        <w:pStyle w:val="Heading1"/>
      </w:pPr>
      <w:r>
        <w:t>15. Approval workflow</w:t>
      </w:r>
    </w:p>
    <w:p>
      <w:pPr>
        <w:pStyle w:val="ListNumber"/>
      </w:pPr>
      <w:r>
        <w:t>Marketing drafts the asset using this copy library.</w:t>
      </w:r>
    </w:p>
    <w:p>
      <w:pPr>
        <w:pStyle w:val="ListNumber"/>
      </w:pPr>
      <w:r>
        <w:t>Program owner verifies product facts and availability.</w:t>
      </w:r>
    </w:p>
    <w:p>
      <w:pPr>
        <w:pStyle w:val="ListNumber"/>
      </w:pPr>
      <w:r>
        <w:t>Finance verifies price, currency and payment statements.</w:t>
      </w:r>
    </w:p>
    <w:p>
      <w:pPr>
        <w:pStyle w:val="ListNumber"/>
      </w:pPr>
      <w:r>
        <w:t>Compliance reviews earnings, savings, investment and future-benefit claims.</w:t>
      </w:r>
    </w:p>
    <w:p>
      <w:pPr>
        <w:pStyle w:val="ListNumber"/>
      </w:pPr>
      <w:r>
        <w:t>Authorized approver signs off; final copy is archived with version and date.</w:t>
      </w:r>
    </w:p>
    <w:p>
      <w:pPr>
        <w:pStyle w:val="ListNumber"/>
      </w:pPr>
      <w:r>
        <w:t>Published claims are monitored and corrected when programs or rules change.</w:t>
      </w:r>
    </w:p>
    <w:sectPr w:rsidR="00FC693F" w:rsidRPr="0006063C" w:rsidSect="00034616">
      <w:headerReference w:type="default" r:id="rId9"/>
      <w:footerReference w:type="default" r:id="rId10"/>
      <w:pgSz w:w="12240" w:h="15840"/>
      <w:pgMar w:top="1181" w:right="1267" w:bottom="1123" w:left="1267"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2"/>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5B6872"/>
        <w:sz w:val="16"/>
      </w:rPr>
      <w:t>TX WEALTH CREATION ECOSYSTEM  |  MARKETING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ptos" w:hAnsi="Aptos"/>
      <w:color w:val="0B22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B6B91"/>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B2239"/>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B6B9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B223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Display" w:hAnsi="Aptos Display"/>
      <w:b w:val="0"/>
      <w:i/>
      <w:iCs/>
      <w:color w:val="5B68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720" w:hanging="3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ind w:left="720" w:hanging="3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