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500"/>
        <w:jc w:val="center"/>
      </w:pPr>
      <w:r>
        <w:drawing>
          <wp:inline xmlns:a="http://schemas.openxmlformats.org/drawingml/2006/main" xmlns:pic="http://schemas.openxmlformats.org/drawingml/2006/picture">
            <wp:extent cx="2286000" cy="1590261"/>
            <wp:docPr id="1" name="Picture 1"/>
            <wp:cNvGraphicFramePr>
              <a:graphicFrameLocks noChangeAspect="1"/>
            </wp:cNvGraphicFramePr>
            <a:graphic>
              <a:graphicData uri="http://schemas.openxmlformats.org/drawingml/2006/picture">
                <pic:pic>
                  <pic:nvPicPr>
                    <pic:cNvPr id="0" name="tx-logo.png"/>
                    <pic:cNvPicPr/>
                  </pic:nvPicPr>
                  <pic:blipFill>
                    <a:blip r:embed="rId11"/>
                    <a:stretch>
                      <a:fillRect/>
                    </a:stretch>
                  </pic:blipFill>
                  <pic:spPr>
                    <a:xfrm>
                      <a:off x="0" y="0"/>
                      <a:ext cx="2286000" cy="1590261"/>
                    </a:xfrm>
                    <a:prstGeom prst="rect"/>
                  </pic:spPr>
                </pic:pic>
              </a:graphicData>
            </a:graphic>
          </wp:inline>
        </w:drawing>
      </w:r>
    </w:p>
    <w:p>
      <w:pPr>
        <w:spacing w:before="480"/>
        <w:jc w:val="center"/>
      </w:pPr>
      <w:r>
        <w:rPr>
          <w:b/>
          <w:color w:val="D7A744"/>
          <w:sz w:val="24"/>
        </w:rPr>
        <w:t>ANT WEALTH ECOSYSTEM</w:t>
      </w:r>
    </w:p>
    <w:p>
      <w:pPr>
        <w:pStyle w:val="Title"/>
        <w:jc w:val="center"/>
      </w:pPr>
      <w:r>
        <w:t>Compensation Plan Booklet</w:t>
      </w:r>
    </w:p>
    <w:p>
      <w:pPr>
        <w:pStyle w:val="Subtitle"/>
        <w:jc w:val="center"/>
      </w:pPr>
      <w:r>
        <w:t>Building wealth through structured learning, commerce, savings and community advancement</w:t>
      </w:r>
    </w:p>
    <w:p>
      <w:pPr>
        <w:spacing w:before="900"/>
        <w:jc w:val="center"/>
      </w:pPr>
      <w:r>
        <w:rPr>
          <w:b/>
          <w:color w:val="237455"/>
          <w:sz w:val="20"/>
        </w:rPr>
        <w:t>CONFIRMED RULES AND PUBLIC TEST GUIDE</w:t>
        <w:br/>
        <w:t>Updated 25 September 2026</w:t>
        <w:br/>
        <w:t>Tink Xtra Enterprise, Ghana</w:t>
      </w:r>
    </w:p>
    <w:tbl>
      <w:tblPr>
        <w:tblW w:type="auto" w:w="0"/>
        <w:tblLayout w:type="fixed"/>
        <w:tblLook w:firstColumn="1" w:firstRow="1" w:lastColumn="0" w:lastRow="0" w:noHBand="0" w:noVBand="1" w:val="04A0"/>
      </w:tblPr>
      <w:tblGrid>
        <w:gridCol w:w="9360"/>
      </w:tblGrid>
      <w:tr>
        <w:trPr>
          <w:cantSplit/>
        </w:trPr>
        <w:tc>
          <w:tcPr>
            <w:tcW w:type="dxa" w:w="9360"/>
            <w:shd w:fill="FFF4D6"/>
            <w:tcMar>
              <w:top w:w="160" w:type="dxa"/>
              <w:start w:w="180" w:type="dxa"/>
              <w:bottom w:w="160" w:type="dxa"/>
              <w:end w:w="180" w:type="dxa"/>
            </w:tcMar>
          </w:tcPr>
          <w:p>
            <w:r>
              <w:rPr>
                <w:b/>
                <w:color w:val="071C31"/>
                <w:sz w:val="22"/>
              </w:rPr>
              <w:t>IMPORTANT DISCLOSURE</w:t>
              <w:br/>
            </w:r>
            <w:r>
              <w:rPr>
                <w:color w:val="10263F"/>
                <w:sz w:val="20"/>
              </w:rPr>
              <w:t>This booklet describes proposed compensation mechanics supplied by TX Wealth. It is not an income guarantee, investment offer, tax opinion or authorization to collect deposits. Payments must be funded by lawful, verifiable product or service activity and launched only after professional legal, tax, regulatory and financial review.</w:t>
            </w:r>
          </w:p>
        </w:tc>
      </w:tr>
    </w:tbl>
    <w:p>
      <w:pPr>
        <w:spacing w:after="40"/>
      </w:pPr>
    </w:p>
    <w:p>
      <w:r>
        <w:br w:type="page"/>
      </w:r>
    </w:p>
    <w:p>
      <w:pPr>
        <w:pStyle w:val="Heading1"/>
      </w:pPr>
      <w:r>
        <w:t>1. Purpose and operating principles</w:t>
      </w:r>
    </w:p>
    <w:p>
      <w:r>
        <w:t>The Ant Wealth Ecosystem combines member education, business development, verified commercial activity, board progression and a proposed flexible savings service. The compensation plan is designed to make every calculation visible before an administrator records an earning.</w:t>
      </w:r>
    </w:p>
    <w:p>
      <w:pPr>
        <w:pStyle w:val="ListBullet"/>
      </w:pPr>
      <w:r>
        <w:t>No reward is guaranteed.</w:t>
      </w:r>
    </w:p>
    <w:p>
      <w:pPr>
        <w:pStyle w:val="ListBullet"/>
      </w:pPr>
      <w:r>
        <w:t>Joining or sharing a link alone does not create an earning. Confirmed qualifying membership payments and approved board-cycle activity can generate test rewards under this plan.</w:t>
      </w:r>
    </w:p>
    <w:p>
      <w:pPr>
        <w:pStyle w:val="ListBullet"/>
      </w:pPr>
      <w:r>
        <w:t>Every payable entry requires documented eligibility and administrator approval.</w:t>
      </w:r>
    </w:p>
    <w:p>
      <w:pPr>
        <w:pStyle w:val="ListBullet"/>
      </w:pPr>
      <w:r>
        <w:t>Member savings must remain separate from operating cash and reward pools.</w:t>
      </w:r>
    </w:p>
    <w:p>
      <w:pPr>
        <w:pStyle w:val="ListBullet"/>
      </w:pPr>
      <w:r>
        <w:t>Taxes, fees and withholding must follow applicable law and verified professional advice.</w:t>
      </w:r>
    </w:p>
    <w:tbl>
      <w:tblPr>
        <w:tblW w:type="auto" w:w="0"/>
        <w:tblLayout w:type="fixed"/>
        <w:tblLook w:firstColumn="1" w:firstRow="1" w:lastColumn="0" w:lastRow="0" w:noHBand="0" w:noVBand="1" w:val="04A0"/>
      </w:tblPr>
      <w:tblGrid>
        <w:gridCol w:w="9360"/>
      </w:tblGrid>
      <w:tr>
        <w:trPr>
          <w:cantSplit/>
        </w:trPr>
        <w:tc>
          <w:tcPr>
            <w:tcW w:type="dxa" w:w="9360"/>
            <w:shd w:fill="EAF1F5"/>
            <w:tcMar>
              <w:top w:w="160" w:type="dxa"/>
              <w:start w:w="180" w:type="dxa"/>
              <w:bottom w:w="160" w:type="dxa"/>
              <w:end w:w="180" w:type="dxa"/>
            </w:tcMar>
          </w:tcPr>
          <w:p>
            <w:r>
              <w:rPr>
                <w:b/>
                <w:color w:val="071C31"/>
                <w:sz w:val="22"/>
              </w:rPr>
              <w:t>Marketing statement</w:t>
              <w:br/>
            </w:r>
            <w:r>
              <w:rPr>
                <w:color w:val="10263F"/>
                <w:sz w:val="20"/>
              </w:rPr>
              <w:t>The Ant Wealth Ecosystem offers 14 potential benefit and earning categories. Actual eligibility and payment depend on approved rules, verified activity, available revenue and applicable law.</w:t>
            </w:r>
          </w:p>
        </w:tc>
      </w:tr>
    </w:tbl>
    <w:p>
      <w:pPr>
        <w:spacing w:after="40"/>
      </w:pPr>
    </w:p>
    <w:p>
      <w:pPr>
        <w:pStyle w:val="Heading1"/>
      </w:pPr>
      <w:r>
        <w:t>2. Five-board structure</w:t>
      </w:r>
    </w:p>
    <w:p>
      <w:r>
        <w:t>The lead allocation remains 80% of eligible board revenue after documented website/service operating costs and incoming collection fees. The original table below is retained as a zero-expense comparison; it is not a guaranteed payout or a new membership invoice.</w:t>
      </w:r>
    </w:p>
    <w:tbl>
      <w:tblPr>
        <w:tblStyle w:val="TableGrid"/>
        <w:tblW w:type="auto" w:w="0"/>
        <w:jc w:val="center"/>
        <w:tblLayout w:type="fixed"/>
        <w:tblLook w:firstColumn="1" w:firstRow="1" w:lastColumn="0" w:lastRow="0" w:noHBand="0" w:noVBand="1" w:val="04A0"/>
      </w:tblPr>
      <w:tblGrid>
        <w:gridCol w:w="1872"/>
        <w:gridCol w:w="1872"/>
        <w:gridCol w:w="1872"/>
        <w:gridCol w:w="1872"/>
        <w:gridCol w:w="1872"/>
      </w:tblGrid>
      <w:tr>
        <w:trPr>
          <w:tblHeader w:val="true"/>
        </w:trPr>
        <w:tc>
          <w:tcPr>
            <w:tcW w:type="dxa" w:w="2376"/>
            <w:shd w:fill="071C31"/>
            <w:tcMar>
              <w:top w:w="90" w:type="dxa"/>
              <w:start w:w="120" w:type="dxa"/>
              <w:bottom w:w="90" w:type="dxa"/>
              <w:end w:w="120" w:type="dxa"/>
            </w:tcMar>
          </w:tcPr>
          <w:p>
            <w:pPr>
              <w:jc w:val="center"/>
            </w:pPr>
            <w:r>
              <w:rPr>
                <w:b/>
                <w:color w:val="FFFFFF"/>
                <w:sz w:val="17"/>
              </w:rPr>
              <w:t>Board</w:t>
            </w:r>
          </w:p>
        </w:tc>
        <w:tc>
          <w:tcPr>
            <w:tcW w:type="dxa" w:w="1080"/>
            <w:shd w:fill="071C31"/>
            <w:tcMar>
              <w:top w:w="90" w:type="dxa"/>
              <w:start w:w="120" w:type="dxa"/>
              <w:bottom w:w="90" w:type="dxa"/>
              <w:end w:w="120" w:type="dxa"/>
            </w:tcMar>
          </w:tcPr>
          <w:p>
            <w:pPr>
              <w:jc w:val="center"/>
            </w:pPr>
            <w:r>
              <w:rPr>
                <w:b/>
                <w:color w:val="FFFFFF"/>
                <w:sz w:val="17"/>
              </w:rPr>
              <w:t>Members</w:t>
            </w:r>
          </w:p>
        </w:tc>
        <w:tc>
          <w:tcPr>
            <w:tcW w:type="dxa" w:w="1296"/>
            <w:shd w:fill="071C31"/>
            <w:tcMar>
              <w:top w:w="90" w:type="dxa"/>
              <w:start w:w="120" w:type="dxa"/>
              <w:bottom w:w="90" w:type="dxa"/>
              <w:end w:w="120" w:type="dxa"/>
            </w:tcMar>
          </w:tcPr>
          <w:p>
            <w:pPr>
              <w:jc w:val="center"/>
            </w:pPr>
            <w:r>
              <w:rPr>
                <w:b/>
                <w:color w:val="FFFFFF"/>
                <w:sz w:val="17"/>
              </w:rPr>
              <w:t>Fee</w:t>
            </w:r>
          </w:p>
        </w:tc>
        <w:tc>
          <w:tcPr>
            <w:tcW w:type="dxa" w:w="2088"/>
            <w:shd w:fill="071C31"/>
            <w:tcMar>
              <w:top w:w="90" w:type="dxa"/>
              <w:start w:w="120" w:type="dxa"/>
              <w:bottom w:w="90" w:type="dxa"/>
              <w:end w:w="120" w:type="dxa"/>
            </w:tcMar>
          </w:tcPr>
          <w:p>
            <w:pPr>
              <w:jc w:val="center"/>
            </w:pPr>
            <w:r>
              <w:rPr>
                <w:b/>
                <w:color w:val="FFFFFF"/>
                <w:sz w:val="17"/>
              </w:rPr>
              <w:t>Board value</w:t>
            </w:r>
          </w:p>
        </w:tc>
        <w:tc>
          <w:tcPr>
            <w:tcW w:type="dxa" w:w="2520"/>
            <w:shd w:fill="071C31"/>
            <w:tcMar>
              <w:top w:w="90" w:type="dxa"/>
              <w:start w:w="120" w:type="dxa"/>
              <w:bottom w:w="90" w:type="dxa"/>
              <w:end w:w="120" w:type="dxa"/>
            </w:tcMar>
          </w:tcPr>
          <w:p>
            <w:pPr>
              <w:jc w:val="center"/>
            </w:pPr>
            <w:r>
              <w:rPr>
                <w:b/>
                <w:color w:val="FFFFFF"/>
                <w:sz w:val="17"/>
              </w:rPr>
              <w:t>Lead 80%</w:t>
            </w:r>
          </w:p>
        </w:tc>
      </w:tr>
      <w:tr>
        <w:tc>
          <w:tcPr>
            <w:tcW w:type="dxa" w:w="2376"/>
            <w:vAlign w:val="center"/>
            <w:tcMar>
              <w:top w:w="90" w:type="dxa"/>
              <w:start w:w="120" w:type="dxa"/>
              <w:bottom w:w="90" w:type="dxa"/>
              <w:end w:w="120" w:type="dxa"/>
            </w:tcMar>
          </w:tcPr>
          <w:p>
            <w:pPr>
              <w:jc w:val="left"/>
            </w:pPr>
            <w:r>
              <w:rPr>
                <w:color w:val="10263F"/>
                <w:sz w:val="17"/>
              </w:rPr>
              <w:t>Ant Starter</w:t>
            </w:r>
          </w:p>
        </w:tc>
        <w:tc>
          <w:tcPr>
            <w:tcW w:type="dxa" w:w="1080"/>
            <w:vAlign w:val="center"/>
            <w:tcMar>
              <w:top w:w="90" w:type="dxa"/>
              <w:start w:w="120" w:type="dxa"/>
              <w:bottom w:w="90" w:type="dxa"/>
              <w:end w:w="120" w:type="dxa"/>
            </w:tcMar>
          </w:tcPr>
          <w:p>
            <w:pPr>
              <w:jc w:val="center"/>
            </w:pPr>
            <w:r>
              <w:rPr>
                <w:color w:val="10263F"/>
                <w:sz w:val="17"/>
              </w:rPr>
              <w:t>6</w:t>
            </w:r>
          </w:p>
        </w:tc>
        <w:tc>
          <w:tcPr>
            <w:tcW w:type="dxa" w:w="1296"/>
            <w:vAlign w:val="center"/>
            <w:tcMar>
              <w:top w:w="90" w:type="dxa"/>
              <w:start w:w="120" w:type="dxa"/>
              <w:bottom w:w="90" w:type="dxa"/>
              <w:end w:w="120" w:type="dxa"/>
            </w:tcMar>
          </w:tcPr>
          <w:p>
            <w:pPr>
              <w:jc w:val="center"/>
            </w:pPr>
            <w:r>
              <w:rPr>
                <w:color w:val="10263F"/>
                <w:sz w:val="17"/>
              </w:rPr>
              <w:t>$50.00</w:t>
            </w:r>
          </w:p>
        </w:tc>
        <w:tc>
          <w:tcPr>
            <w:tcW w:type="dxa" w:w="2088"/>
            <w:vAlign w:val="center"/>
            <w:tcMar>
              <w:top w:w="90" w:type="dxa"/>
              <w:start w:w="120" w:type="dxa"/>
              <w:bottom w:w="90" w:type="dxa"/>
              <w:end w:w="120" w:type="dxa"/>
            </w:tcMar>
          </w:tcPr>
          <w:p>
            <w:pPr>
              <w:jc w:val="center"/>
            </w:pPr>
            <w:r>
              <w:rPr>
                <w:color w:val="10263F"/>
                <w:sz w:val="17"/>
              </w:rPr>
              <w:t>$300.00</w:t>
            </w:r>
          </w:p>
        </w:tc>
        <w:tc>
          <w:tcPr>
            <w:tcW w:type="dxa" w:w="2520"/>
            <w:vAlign w:val="center"/>
            <w:tcMar>
              <w:top w:w="90" w:type="dxa"/>
              <w:start w:w="120" w:type="dxa"/>
              <w:bottom w:w="90" w:type="dxa"/>
              <w:end w:w="120" w:type="dxa"/>
            </w:tcMar>
          </w:tcPr>
          <w:p>
            <w:pPr>
              <w:jc w:val="center"/>
            </w:pPr>
            <w:r>
              <w:rPr>
                <w:color w:val="10263F"/>
                <w:sz w:val="17"/>
              </w:rPr>
              <w:t>$240.00</w:t>
            </w:r>
          </w:p>
        </w:tc>
      </w:tr>
      <w:tr>
        <w:tc>
          <w:tcPr>
            <w:tcW w:type="dxa" w:w="2376"/>
            <w:vAlign w:val="center"/>
            <w:tcMar>
              <w:top w:w="90" w:type="dxa"/>
              <w:start w:w="120" w:type="dxa"/>
              <w:bottom w:w="90" w:type="dxa"/>
              <w:end w:w="120" w:type="dxa"/>
            </w:tcMar>
            <w:shd w:fill="F4F7F9"/>
          </w:tcPr>
          <w:p>
            <w:pPr>
              <w:jc w:val="left"/>
            </w:pPr>
            <w:r>
              <w:rPr>
                <w:color w:val="10263F"/>
                <w:sz w:val="17"/>
              </w:rPr>
              <w:t>Ant Platinum</w:t>
            </w:r>
          </w:p>
        </w:tc>
        <w:tc>
          <w:tcPr>
            <w:tcW w:type="dxa" w:w="1080"/>
            <w:vAlign w:val="center"/>
            <w:tcMar>
              <w:top w:w="90" w:type="dxa"/>
              <w:start w:w="120" w:type="dxa"/>
              <w:bottom w:w="90" w:type="dxa"/>
              <w:end w:w="120" w:type="dxa"/>
            </w:tcMar>
            <w:shd w:fill="F4F7F9"/>
          </w:tcPr>
          <w:p>
            <w:pPr>
              <w:jc w:val="center"/>
            </w:pPr>
            <w:r>
              <w:rPr>
                <w:color w:val="10263F"/>
                <w:sz w:val="17"/>
              </w:rPr>
              <w:t>14</w:t>
            </w:r>
          </w:p>
        </w:tc>
        <w:tc>
          <w:tcPr>
            <w:tcW w:type="dxa" w:w="1296"/>
            <w:vAlign w:val="center"/>
            <w:tcMar>
              <w:top w:w="90" w:type="dxa"/>
              <w:start w:w="120" w:type="dxa"/>
              <w:bottom w:w="90" w:type="dxa"/>
              <w:end w:w="120" w:type="dxa"/>
            </w:tcMar>
            <w:shd w:fill="F4F7F9"/>
          </w:tcPr>
          <w:p>
            <w:pPr>
              <w:jc w:val="center"/>
            </w:pPr>
            <w:r>
              <w:rPr>
                <w:color w:val="10263F"/>
                <w:sz w:val="17"/>
              </w:rPr>
              <w:t>$100.00</w:t>
            </w:r>
          </w:p>
        </w:tc>
        <w:tc>
          <w:tcPr>
            <w:tcW w:type="dxa" w:w="2088"/>
            <w:vAlign w:val="center"/>
            <w:tcMar>
              <w:top w:w="90" w:type="dxa"/>
              <w:start w:w="120" w:type="dxa"/>
              <w:bottom w:w="90" w:type="dxa"/>
              <w:end w:w="120" w:type="dxa"/>
            </w:tcMar>
            <w:shd w:fill="F4F7F9"/>
          </w:tcPr>
          <w:p>
            <w:pPr>
              <w:jc w:val="center"/>
            </w:pPr>
            <w:r>
              <w:rPr>
                <w:color w:val="10263F"/>
                <w:sz w:val="17"/>
              </w:rPr>
              <w:t>$1,400.00</w:t>
            </w:r>
          </w:p>
        </w:tc>
        <w:tc>
          <w:tcPr>
            <w:tcW w:type="dxa" w:w="2520"/>
            <w:vAlign w:val="center"/>
            <w:tcMar>
              <w:top w:w="90" w:type="dxa"/>
              <w:start w:w="120" w:type="dxa"/>
              <w:bottom w:w="90" w:type="dxa"/>
              <w:end w:w="120" w:type="dxa"/>
            </w:tcMar>
            <w:shd w:fill="F4F7F9"/>
          </w:tcPr>
          <w:p>
            <w:pPr>
              <w:jc w:val="center"/>
            </w:pPr>
            <w:r>
              <w:rPr>
                <w:color w:val="10263F"/>
                <w:sz w:val="17"/>
              </w:rPr>
              <w:t>$1,120.00</w:t>
            </w:r>
          </w:p>
        </w:tc>
      </w:tr>
      <w:tr>
        <w:tc>
          <w:tcPr>
            <w:tcW w:type="dxa" w:w="2376"/>
            <w:vAlign w:val="center"/>
            <w:tcMar>
              <w:top w:w="90" w:type="dxa"/>
              <w:start w:w="120" w:type="dxa"/>
              <w:bottom w:w="90" w:type="dxa"/>
              <w:end w:w="120" w:type="dxa"/>
            </w:tcMar>
          </w:tcPr>
          <w:p>
            <w:pPr>
              <w:jc w:val="left"/>
            </w:pPr>
            <w:r>
              <w:rPr>
                <w:color w:val="10263F"/>
                <w:sz w:val="17"/>
              </w:rPr>
              <w:t>Ant Gold</w:t>
            </w:r>
          </w:p>
        </w:tc>
        <w:tc>
          <w:tcPr>
            <w:tcW w:type="dxa" w:w="1080"/>
            <w:vAlign w:val="center"/>
            <w:tcMar>
              <w:top w:w="90" w:type="dxa"/>
              <w:start w:w="120" w:type="dxa"/>
              <w:bottom w:w="90" w:type="dxa"/>
              <w:end w:w="120" w:type="dxa"/>
            </w:tcMar>
          </w:tcPr>
          <w:p>
            <w:pPr>
              <w:jc w:val="center"/>
            </w:pPr>
            <w:r>
              <w:rPr>
                <w:color w:val="10263F"/>
                <w:sz w:val="17"/>
              </w:rPr>
              <w:t>30</w:t>
            </w:r>
          </w:p>
        </w:tc>
        <w:tc>
          <w:tcPr>
            <w:tcW w:type="dxa" w:w="1296"/>
            <w:vAlign w:val="center"/>
            <w:tcMar>
              <w:top w:w="90" w:type="dxa"/>
              <w:start w:w="120" w:type="dxa"/>
              <w:bottom w:w="90" w:type="dxa"/>
              <w:end w:w="120" w:type="dxa"/>
            </w:tcMar>
          </w:tcPr>
          <w:p>
            <w:pPr>
              <w:jc w:val="center"/>
            </w:pPr>
            <w:r>
              <w:rPr>
                <w:color w:val="10263F"/>
                <w:sz w:val="17"/>
              </w:rPr>
              <w:t>$200.00</w:t>
            </w:r>
          </w:p>
        </w:tc>
        <w:tc>
          <w:tcPr>
            <w:tcW w:type="dxa" w:w="2088"/>
            <w:vAlign w:val="center"/>
            <w:tcMar>
              <w:top w:w="90" w:type="dxa"/>
              <w:start w:w="120" w:type="dxa"/>
              <w:bottom w:w="90" w:type="dxa"/>
              <w:end w:w="120" w:type="dxa"/>
            </w:tcMar>
          </w:tcPr>
          <w:p>
            <w:pPr>
              <w:jc w:val="center"/>
            </w:pPr>
            <w:r>
              <w:rPr>
                <w:color w:val="10263F"/>
                <w:sz w:val="17"/>
              </w:rPr>
              <w:t>$6,000.00</w:t>
            </w:r>
          </w:p>
        </w:tc>
        <w:tc>
          <w:tcPr>
            <w:tcW w:type="dxa" w:w="2520"/>
            <w:vAlign w:val="center"/>
            <w:tcMar>
              <w:top w:w="90" w:type="dxa"/>
              <w:start w:w="120" w:type="dxa"/>
              <w:bottom w:w="90" w:type="dxa"/>
              <w:end w:w="120" w:type="dxa"/>
            </w:tcMar>
          </w:tcPr>
          <w:p>
            <w:pPr>
              <w:jc w:val="center"/>
            </w:pPr>
            <w:r>
              <w:rPr>
                <w:color w:val="10263F"/>
                <w:sz w:val="17"/>
              </w:rPr>
              <w:t>$4,800.00</w:t>
            </w:r>
          </w:p>
        </w:tc>
      </w:tr>
      <w:tr>
        <w:tc>
          <w:tcPr>
            <w:tcW w:type="dxa" w:w="2376"/>
            <w:vAlign w:val="center"/>
            <w:tcMar>
              <w:top w:w="90" w:type="dxa"/>
              <w:start w:w="120" w:type="dxa"/>
              <w:bottom w:w="90" w:type="dxa"/>
              <w:end w:w="120" w:type="dxa"/>
            </w:tcMar>
            <w:shd w:fill="F4F7F9"/>
          </w:tcPr>
          <w:p>
            <w:pPr>
              <w:jc w:val="left"/>
            </w:pPr>
            <w:r>
              <w:rPr>
                <w:color w:val="10263F"/>
                <w:sz w:val="17"/>
              </w:rPr>
              <w:t>Ant Diamond</w:t>
            </w:r>
          </w:p>
        </w:tc>
        <w:tc>
          <w:tcPr>
            <w:tcW w:type="dxa" w:w="1080"/>
            <w:vAlign w:val="center"/>
            <w:tcMar>
              <w:top w:w="90" w:type="dxa"/>
              <w:start w:w="120" w:type="dxa"/>
              <w:bottom w:w="90" w:type="dxa"/>
              <w:end w:w="120" w:type="dxa"/>
            </w:tcMar>
            <w:shd w:fill="F4F7F9"/>
          </w:tcPr>
          <w:p>
            <w:pPr>
              <w:jc w:val="center"/>
            </w:pPr>
            <w:r>
              <w:rPr>
                <w:color w:val="10263F"/>
                <w:sz w:val="17"/>
              </w:rPr>
              <w:t>62</w:t>
            </w:r>
          </w:p>
        </w:tc>
        <w:tc>
          <w:tcPr>
            <w:tcW w:type="dxa" w:w="1296"/>
            <w:vAlign w:val="center"/>
            <w:tcMar>
              <w:top w:w="90" w:type="dxa"/>
              <w:start w:w="120" w:type="dxa"/>
              <w:bottom w:w="90" w:type="dxa"/>
              <w:end w:w="120" w:type="dxa"/>
            </w:tcMar>
            <w:shd w:fill="F4F7F9"/>
          </w:tcPr>
          <w:p>
            <w:pPr>
              <w:jc w:val="center"/>
            </w:pPr>
            <w:r>
              <w:rPr>
                <w:color w:val="10263F"/>
                <w:sz w:val="17"/>
              </w:rPr>
              <w:t>$400.00</w:t>
            </w:r>
          </w:p>
        </w:tc>
        <w:tc>
          <w:tcPr>
            <w:tcW w:type="dxa" w:w="2088"/>
            <w:vAlign w:val="center"/>
            <w:tcMar>
              <w:top w:w="90" w:type="dxa"/>
              <w:start w:w="120" w:type="dxa"/>
              <w:bottom w:w="90" w:type="dxa"/>
              <w:end w:w="120" w:type="dxa"/>
            </w:tcMar>
            <w:shd w:fill="F4F7F9"/>
          </w:tcPr>
          <w:p>
            <w:pPr>
              <w:jc w:val="center"/>
            </w:pPr>
            <w:r>
              <w:rPr>
                <w:color w:val="10263F"/>
                <w:sz w:val="17"/>
              </w:rPr>
              <w:t>$24,800.00</w:t>
            </w:r>
          </w:p>
        </w:tc>
        <w:tc>
          <w:tcPr>
            <w:tcW w:type="dxa" w:w="2520"/>
            <w:vAlign w:val="center"/>
            <w:tcMar>
              <w:top w:w="90" w:type="dxa"/>
              <w:start w:w="120" w:type="dxa"/>
              <w:bottom w:w="90" w:type="dxa"/>
              <w:end w:w="120" w:type="dxa"/>
            </w:tcMar>
            <w:shd w:fill="F4F7F9"/>
          </w:tcPr>
          <w:p>
            <w:pPr>
              <w:jc w:val="center"/>
            </w:pPr>
            <w:r>
              <w:rPr>
                <w:color w:val="10263F"/>
                <w:sz w:val="17"/>
              </w:rPr>
              <w:t>$19,840.00</w:t>
            </w:r>
          </w:p>
        </w:tc>
      </w:tr>
      <w:tr>
        <w:tc>
          <w:tcPr>
            <w:tcW w:type="dxa" w:w="2376"/>
            <w:vAlign w:val="center"/>
            <w:tcMar>
              <w:top w:w="90" w:type="dxa"/>
              <w:start w:w="120" w:type="dxa"/>
              <w:bottom w:w="90" w:type="dxa"/>
              <w:end w:w="120" w:type="dxa"/>
            </w:tcMar>
          </w:tcPr>
          <w:p>
            <w:pPr>
              <w:jc w:val="left"/>
            </w:pPr>
            <w:r>
              <w:rPr>
                <w:color w:val="10263F"/>
                <w:sz w:val="17"/>
              </w:rPr>
              <w:t>Ant Crown</w:t>
            </w:r>
          </w:p>
        </w:tc>
        <w:tc>
          <w:tcPr>
            <w:tcW w:type="dxa" w:w="1080"/>
            <w:vAlign w:val="center"/>
            <w:tcMar>
              <w:top w:w="90" w:type="dxa"/>
              <w:start w:w="120" w:type="dxa"/>
              <w:bottom w:w="90" w:type="dxa"/>
              <w:end w:w="120" w:type="dxa"/>
            </w:tcMar>
          </w:tcPr>
          <w:p>
            <w:pPr>
              <w:jc w:val="center"/>
            </w:pPr>
            <w:r>
              <w:rPr>
                <w:color w:val="10263F"/>
                <w:sz w:val="17"/>
              </w:rPr>
              <w:t>126</w:t>
            </w:r>
          </w:p>
        </w:tc>
        <w:tc>
          <w:tcPr>
            <w:tcW w:type="dxa" w:w="1296"/>
            <w:vAlign w:val="center"/>
            <w:tcMar>
              <w:top w:w="90" w:type="dxa"/>
              <w:start w:w="120" w:type="dxa"/>
              <w:bottom w:w="90" w:type="dxa"/>
              <w:end w:w="120" w:type="dxa"/>
            </w:tcMar>
          </w:tcPr>
          <w:p>
            <w:pPr>
              <w:jc w:val="center"/>
            </w:pPr>
            <w:r>
              <w:rPr>
                <w:color w:val="10263F"/>
                <w:sz w:val="17"/>
              </w:rPr>
              <w:t>$800.00</w:t>
            </w:r>
          </w:p>
        </w:tc>
        <w:tc>
          <w:tcPr>
            <w:tcW w:type="dxa" w:w="2088"/>
            <w:vAlign w:val="center"/>
            <w:tcMar>
              <w:top w:w="90" w:type="dxa"/>
              <w:start w:w="120" w:type="dxa"/>
              <w:bottom w:w="90" w:type="dxa"/>
              <w:end w:w="120" w:type="dxa"/>
            </w:tcMar>
          </w:tcPr>
          <w:p>
            <w:pPr>
              <w:jc w:val="center"/>
            </w:pPr>
            <w:r>
              <w:rPr>
                <w:color w:val="10263F"/>
                <w:sz w:val="17"/>
              </w:rPr>
              <w:t>$100,800.00</w:t>
            </w:r>
          </w:p>
        </w:tc>
        <w:tc>
          <w:tcPr>
            <w:tcW w:type="dxa" w:w="2520"/>
            <w:vAlign w:val="center"/>
            <w:tcMar>
              <w:top w:w="90" w:type="dxa"/>
              <w:start w:w="120" w:type="dxa"/>
              <w:bottom w:w="90" w:type="dxa"/>
              <w:end w:w="120" w:type="dxa"/>
            </w:tcMar>
          </w:tcPr>
          <w:p>
            <w:pPr>
              <w:jc w:val="center"/>
            </w:pPr>
            <w:r>
              <w:rPr>
                <w:color w:val="10263F"/>
                <w:sz w:val="17"/>
              </w:rPr>
              <w:t>$80,640.00</w:t>
            </w:r>
          </w:p>
        </w:tc>
      </w:tr>
    </w:tbl>
    <w:p>
      <w:pPr>
        <w:spacing w:after="40"/>
      </w:pPr>
    </w:p>
    <w:p>
      <w:r>
        <w:t>Progression: Ant Starter -&gt; Ant Platinum -&gt; Ant Gold -&gt; Ant Diamond -&gt; Ant Crown. After approved Crown completion, the next cycle starts at Starter with an increased cycle number. Administrators currently record and approve each board completion.</w:t>
      </w:r>
    </w:p>
    <w:p>
      <w:pPr>
        <w:pStyle w:val="Heading1"/>
      </w:pPr>
      <w:r>
        <w:t>3. Deductions and illustrated net payouts</w:t>
      </w:r>
    </w:p>
    <w:p>
      <w:r>
        <w:t>The supplied model applies a 0.5% processing and maintenance fee, a 10% government income-tax illustration, and a 30% next-board allocation on Boards 1-4. Crown has no next-board allocation.</w:t>
      </w:r>
    </w:p>
    <w:tbl>
      <w:tblPr>
        <w:tblStyle w:val="TableGrid"/>
        <w:tblW w:type="auto" w:w="0"/>
        <w:jc w:val="center"/>
        <w:tblLayout w:type="fixed"/>
        <w:tblLook w:firstColumn="1" w:firstRow="1" w:lastColumn="0" w:lastRow="0" w:noHBand="0" w:noVBand="1" w:val="04A0"/>
      </w:tblPr>
      <w:tblGrid>
        <w:gridCol w:w="1560"/>
        <w:gridCol w:w="1560"/>
        <w:gridCol w:w="1560"/>
        <w:gridCol w:w="1560"/>
        <w:gridCol w:w="1560"/>
        <w:gridCol w:w="1560"/>
      </w:tblGrid>
      <w:tr>
        <w:trPr>
          <w:tblHeader w:val="true"/>
        </w:trPr>
        <w:tc>
          <w:tcPr>
            <w:tcW w:type="dxa" w:w="1944"/>
            <w:shd w:fill="071C31"/>
            <w:tcMar>
              <w:top w:w="90" w:type="dxa"/>
              <w:start w:w="120" w:type="dxa"/>
              <w:bottom w:w="90" w:type="dxa"/>
              <w:end w:w="120" w:type="dxa"/>
            </w:tcMar>
          </w:tcPr>
          <w:p>
            <w:pPr>
              <w:jc w:val="center"/>
            </w:pPr>
            <w:r>
              <w:rPr>
                <w:b/>
                <w:color w:val="FFFFFF"/>
                <w:sz w:val="17"/>
              </w:rPr>
              <w:t>Board</w:t>
            </w:r>
          </w:p>
        </w:tc>
        <w:tc>
          <w:tcPr>
            <w:tcW w:type="dxa" w:w="1512"/>
            <w:shd w:fill="071C31"/>
            <w:tcMar>
              <w:top w:w="90" w:type="dxa"/>
              <w:start w:w="120" w:type="dxa"/>
              <w:bottom w:w="90" w:type="dxa"/>
              <w:end w:w="120" w:type="dxa"/>
            </w:tcMar>
          </w:tcPr>
          <w:p>
            <w:pPr>
              <w:jc w:val="center"/>
            </w:pPr>
            <w:r>
              <w:rPr>
                <w:b/>
                <w:color w:val="FFFFFF"/>
                <w:sz w:val="17"/>
              </w:rPr>
              <w:t>Lead</w:t>
            </w:r>
          </w:p>
        </w:tc>
        <w:tc>
          <w:tcPr>
            <w:tcW w:type="dxa" w:w="1296"/>
            <w:shd w:fill="071C31"/>
            <w:tcMar>
              <w:top w:w="90" w:type="dxa"/>
              <w:start w:w="120" w:type="dxa"/>
              <w:bottom w:w="90" w:type="dxa"/>
              <w:end w:w="120" w:type="dxa"/>
            </w:tcMar>
          </w:tcPr>
          <w:p>
            <w:pPr>
              <w:jc w:val="center"/>
            </w:pPr>
            <w:r>
              <w:rPr>
                <w:b/>
                <w:color w:val="FFFFFF"/>
                <w:sz w:val="17"/>
              </w:rPr>
              <w:t>0.5% fee</w:t>
            </w:r>
          </w:p>
        </w:tc>
        <w:tc>
          <w:tcPr>
            <w:tcW w:type="dxa" w:w="1224"/>
            <w:shd w:fill="071C31"/>
            <w:tcMar>
              <w:top w:w="90" w:type="dxa"/>
              <w:start w:w="120" w:type="dxa"/>
              <w:bottom w:w="90" w:type="dxa"/>
              <w:end w:w="120" w:type="dxa"/>
            </w:tcMar>
          </w:tcPr>
          <w:p>
            <w:pPr>
              <w:jc w:val="center"/>
            </w:pPr>
            <w:r>
              <w:rPr>
                <w:b/>
                <w:color w:val="FFFFFF"/>
                <w:sz w:val="17"/>
              </w:rPr>
              <w:t>10% tax*</w:t>
            </w:r>
          </w:p>
        </w:tc>
        <w:tc>
          <w:tcPr>
            <w:tcW w:type="dxa" w:w="1800"/>
            <w:shd w:fill="071C31"/>
            <w:tcMar>
              <w:top w:w="90" w:type="dxa"/>
              <w:start w:w="120" w:type="dxa"/>
              <w:bottom w:w="90" w:type="dxa"/>
              <w:end w:w="120" w:type="dxa"/>
            </w:tcMar>
          </w:tcPr>
          <w:p>
            <w:pPr>
              <w:jc w:val="center"/>
            </w:pPr>
            <w:r>
              <w:rPr>
                <w:b/>
                <w:color w:val="FFFFFF"/>
                <w:sz w:val="17"/>
              </w:rPr>
              <w:t>30% next board</w:t>
            </w:r>
          </w:p>
        </w:tc>
        <w:tc>
          <w:tcPr>
            <w:tcW w:type="dxa" w:w="1584"/>
            <w:shd w:fill="071C31"/>
            <w:tcMar>
              <w:top w:w="90" w:type="dxa"/>
              <w:start w:w="120" w:type="dxa"/>
              <w:bottom w:w="90" w:type="dxa"/>
              <w:end w:w="120" w:type="dxa"/>
            </w:tcMar>
          </w:tcPr>
          <w:p>
            <w:pPr>
              <w:jc w:val="center"/>
            </w:pPr>
            <w:r>
              <w:rPr>
                <w:b/>
                <w:color w:val="FFFFFF"/>
                <w:sz w:val="17"/>
              </w:rPr>
              <w:t>Net</w:t>
            </w:r>
          </w:p>
        </w:tc>
      </w:tr>
      <w:tr>
        <w:tc>
          <w:tcPr>
            <w:tcW w:type="dxa" w:w="1944"/>
            <w:vAlign w:val="center"/>
            <w:tcMar>
              <w:top w:w="90" w:type="dxa"/>
              <w:start w:w="120" w:type="dxa"/>
              <w:bottom w:w="90" w:type="dxa"/>
              <w:end w:w="120" w:type="dxa"/>
            </w:tcMar>
          </w:tcPr>
          <w:p>
            <w:pPr>
              <w:jc w:val="left"/>
            </w:pPr>
            <w:r>
              <w:rPr>
                <w:color w:val="10263F"/>
                <w:sz w:val="17"/>
              </w:rPr>
              <w:t>Ant Starter</w:t>
            </w:r>
          </w:p>
        </w:tc>
        <w:tc>
          <w:tcPr>
            <w:tcW w:type="dxa" w:w="1512"/>
            <w:vAlign w:val="center"/>
            <w:tcMar>
              <w:top w:w="90" w:type="dxa"/>
              <w:start w:w="120" w:type="dxa"/>
              <w:bottom w:w="90" w:type="dxa"/>
              <w:end w:w="120" w:type="dxa"/>
            </w:tcMar>
          </w:tcPr>
          <w:p>
            <w:pPr>
              <w:jc w:val="center"/>
            </w:pPr>
            <w:r>
              <w:rPr>
                <w:color w:val="10263F"/>
                <w:sz w:val="17"/>
              </w:rPr>
              <w:t>$240.00</w:t>
            </w:r>
          </w:p>
        </w:tc>
        <w:tc>
          <w:tcPr>
            <w:tcW w:type="dxa" w:w="1296"/>
            <w:vAlign w:val="center"/>
            <w:tcMar>
              <w:top w:w="90" w:type="dxa"/>
              <w:start w:w="120" w:type="dxa"/>
              <w:bottom w:w="90" w:type="dxa"/>
              <w:end w:w="120" w:type="dxa"/>
            </w:tcMar>
          </w:tcPr>
          <w:p>
            <w:pPr>
              <w:jc w:val="center"/>
            </w:pPr>
            <w:r>
              <w:rPr>
                <w:color w:val="10263F"/>
                <w:sz w:val="17"/>
              </w:rPr>
              <w:t>$1.20</w:t>
            </w:r>
          </w:p>
        </w:tc>
        <w:tc>
          <w:tcPr>
            <w:tcW w:type="dxa" w:w="1224"/>
            <w:vAlign w:val="center"/>
            <w:tcMar>
              <w:top w:w="90" w:type="dxa"/>
              <w:start w:w="120" w:type="dxa"/>
              <w:bottom w:w="90" w:type="dxa"/>
              <w:end w:w="120" w:type="dxa"/>
            </w:tcMar>
          </w:tcPr>
          <w:p>
            <w:pPr>
              <w:jc w:val="center"/>
            </w:pPr>
            <w:r>
              <w:rPr>
                <w:color w:val="10263F"/>
                <w:sz w:val="17"/>
              </w:rPr>
              <w:t>$24.00</w:t>
            </w:r>
          </w:p>
        </w:tc>
        <w:tc>
          <w:tcPr>
            <w:tcW w:type="dxa" w:w="1800"/>
            <w:vAlign w:val="center"/>
            <w:tcMar>
              <w:top w:w="90" w:type="dxa"/>
              <w:start w:w="120" w:type="dxa"/>
              <w:bottom w:w="90" w:type="dxa"/>
              <w:end w:w="120" w:type="dxa"/>
            </w:tcMar>
          </w:tcPr>
          <w:p>
            <w:pPr>
              <w:jc w:val="center"/>
            </w:pPr>
            <w:r>
              <w:rPr>
                <w:color w:val="10263F"/>
                <w:sz w:val="17"/>
              </w:rPr>
              <w:t>$72.00</w:t>
            </w:r>
          </w:p>
        </w:tc>
        <w:tc>
          <w:tcPr>
            <w:tcW w:type="dxa" w:w="1584"/>
            <w:vAlign w:val="center"/>
            <w:tcMar>
              <w:top w:w="90" w:type="dxa"/>
              <w:start w:w="120" w:type="dxa"/>
              <w:bottom w:w="90" w:type="dxa"/>
              <w:end w:w="120" w:type="dxa"/>
            </w:tcMar>
          </w:tcPr>
          <w:p>
            <w:pPr>
              <w:jc w:val="center"/>
            </w:pPr>
            <w:r>
              <w:rPr>
                <w:color w:val="10263F"/>
                <w:sz w:val="17"/>
              </w:rPr>
              <w:t>$142.80</w:t>
            </w:r>
          </w:p>
        </w:tc>
      </w:tr>
      <w:tr>
        <w:tc>
          <w:tcPr>
            <w:tcW w:type="dxa" w:w="1944"/>
            <w:vAlign w:val="center"/>
            <w:tcMar>
              <w:top w:w="90" w:type="dxa"/>
              <w:start w:w="120" w:type="dxa"/>
              <w:bottom w:w="90" w:type="dxa"/>
              <w:end w:w="120" w:type="dxa"/>
            </w:tcMar>
            <w:shd w:fill="F4F7F9"/>
          </w:tcPr>
          <w:p>
            <w:pPr>
              <w:jc w:val="left"/>
            </w:pPr>
            <w:r>
              <w:rPr>
                <w:color w:val="10263F"/>
                <w:sz w:val="17"/>
              </w:rPr>
              <w:t>Ant Platinum</w:t>
            </w:r>
          </w:p>
        </w:tc>
        <w:tc>
          <w:tcPr>
            <w:tcW w:type="dxa" w:w="1512"/>
            <w:vAlign w:val="center"/>
            <w:tcMar>
              <w:top w:w="90" w:type="dxa"/>
              <w:start w:w="120" w:type="dxa"/>
              <w:bottom w:w="90" w:type="dxa"/>
              <w:end w:w="120" w:type="dxa"/>
            </w:tcMar>
            <w:shd w:fill="F4F7F9"/>
          </w:tcPr>
          <w:p>
            <w:pPr>
              <w:jc w:val="center"/>
            </w:pPr>
            <w:r>
              <w:rPr>
                <w:color w:val="10263F"/>
                <w:sz w:val="17"/>
              </w:rPr>
              <w:t>$1,120.00</w:t>
            </w:r>
          </w:p>
        </w:tc>
        <w:tc>
          <w:tcPr>
            <w:tcW w:type="dxa" w:w="1296"/>
            <w:vAlign w:val="center"/>
            <w:tcMar>
              <w:top w:w="90" w:type="dxa"/>
              <w:start w:w="120" w:type="dxa"/>
              <w:bottom w:w="90" w:type="dxa"/>
              <w:end w:w="120" w:type="dxa"/>
            </w:tcMar>
            <w:shd w:fill="F4F7F9"/>
          </w:tcPr>
          <w:p>
            <w:pPr>
              <w:jc w:val="center"/>
            </w:pPr>
            <w:r>
              <w:rPr>
                <w:color w:val="10263F"/>
                <w:sz w:val="17"/>
              </w:rPr>
              <w:t>$5.60</w:t>
            </w:r>
          </w:p>
        </w:tc>
        <w:tc>
          <w:tcPr>
            <w:tcW w:type="dxa" w:w="1224"/>
            <w:vAlign w:val="center"/>
            <w:tcMar>
              <w:top w:w="90" w:type="dxa"/>
              <w:start w:w="120" w:type="dxa"/>
              <w:bottom w:w="90" w:type="dxa"/>
              <w:end w:w="120" w:type="dxa"/>
            </w:tcMar>
            <w:shd w:fill="F4F7F9"/>
          </w:tcPr>
          <w:p>
            <w:pPr>
              <w:jc w:val="center"/>
            </w:pPr>
            <w:r>
              <w:rPr>
                <w:color w:val="10263F"/>
                <w:sz w:val="17"/>
              </w:rPr>
              <w:t>$112.00</w:t>
            </w:r>
          </w:p>
        </w:tc>
        <w:tc>
          <w:tcPr>
            <w:tcW w:type="dxa" w:w="1800"/>
            <w:vAlign w:val="center"/>
            <w:tcMar>
              <w:top w:w="90" w:type="dxa"/>
              <w:start w:w="120" w:type="dxa"/>
              <w:bottom w:w="90" w:type="dxa"/>
              <w:end w:w="120" w:type="dxa"/>
            </w:tcMar>
            <w:shd w:fill="F4F7F9"/>
          </w:tcPr>
          <w:p>
            <w:pPr>
              <w:jc w:val="center"/>
            </w:pPr>
            <w:r>
              <w:rPr>
                <w:color w:val="10263F"/>
                <w:sz w:val="17"/>
              </w:rPr>
              <w:t>$336.00</w:t>
            </w:r>
          </w:p>
        </w:tc>
        <w:tc>
          <w:tcPr>
            <w:tcW w:type="dxa" w:w="1584"/>
            <w:vAlign w:val="center"/>
            <w:tcMar>
              <w:top w:w="90" w:type="dxa"/>
              <w:start w:w="120" w:type="dxa"/>
              <w:bottom w:w="90" w:type="dxa"/>
              <w:end w:w="120" w:type="dxa"/>
            </w:tcMar>
            <w:shd w:fill="F4F7F9"/>
          </w:tcPr>
          <w:p>
            <w:pPr>
              <w:jc w:val="center"/>
            </w:pPr>
            <w:r>
              <w:rPr>
                <w:color w:val="10263F"/>
                <w:sz w:val="17"/>
              </w:rPr>
              <w:t>$666.40</w:t>
            </w:r>
          </w:p>
        </w:tc>
      </w:tr>
      <w:tr>
        <w:tc>
          <w:tcPr>
            <w:tcW w:type="dxa" w:w="1944"/>
            <w:vAlign w:val="center"/>
            <w:tcMar>
              <w:top w:w="90" w:type="dxa"/>
              <w:start w:w="120" w:type="dxa"/>
              <w:bottom w:w="90" w:type="dxa"/>
              <w:end w:w="120" w:type="dxa"/>
            </w:tcMar>
          </w:tcPr>
          <w:p>
            <w:pPr>
              <w:jc w:val="left"/>
            </w:pPr>
            <w:r>
              <w:rPr>
                <w:color w:val="10263F"/>
                <w:sz w:val="17"/>
              </w:rPr>
              <w:t>Ant Gold</w:t>
            </w:r>
          </w:p>
        </w:tc>
        <w:tc>
          <w:tcPr>
            <w:tcW w:type="dxa" w:w="1512"/>
            <w:vAlign w:val="center"/>
            <w:tcMar>
              <w:top w:w="90" w:type="dxa"/>
              <w:start w:w="120" w:type="dxa"/>
              <w:bottom w:w="90" w:type="dxa"/>
              <w:end w:w="120" w:type="dxa"/>
            </w:tcMar>
          </w:tcPr>
          <w:p>
            <w:pPr>
              <w:jc w:val="center"/>
            </w:pPr>
            <w:r>
              <w:rPr>
                <w:color w:val="10263F"/>
                <w:sz w:val="17"/>
              </w:rPr>
              <w:t>$4,800.00</w:t>
            </w:r>
          </w:p>
        </w:tc>
        <w:tc>
          <w:tcPr>
            <w:tcW w:type="dxa" w:w="1296"/>
            <w:vAlign w:val="center"/>
            <w:tcMar>
              <w:top w:w="90" w:type="dxa"/>
              <w:start w:w="120" w:type="dxa"/>
              <w:bottom w:w="90" w:type="dxa"/>
              <w:end w:w="120" w:type="dxa"/>
            </w:tcMar>
          </w:tcPr>
          <w:p>
            <w:pPr>
              <w:jc w:val="center"/>
            </w:pPr>
            <w:r>
              <w:rPr>
                <w:color w:val="10263F"/>
                <w:sz w:val="17"/>
              </w:rPr>
              <w:t>$24.00</w:t>
            </w:r>
          </w:p>
        </w:tc>
        <w:tc>
          <w:tcPr>
            <w:tcW w:type="dxa" w:w="1224"/>
            <w:vAlign w:val="center"/>
            <w:tcMar>
              <w:top w:w="90" w:type="dxa"/>
              <w:start w:w="120" w:type="dxa"/>
              <w:bottom w:w="90" w:type="dxa"/>
              <w:end w:w="120" w:type="dxa"/>
            </w:tcMar>
          </w:tcPr>
          <w:p>
            <w:pPr>
              <w:jc w:val="center"/>
            </w:pPr>
            <w:r>
              <w:rPr>
                <w:color w:val="10263F"/>
                <w:sz w:val="17"/>
              </w:rPr>
              <w:t>$480.00</w:t>
            </w:r>
          </w:p>
        </w:tc>
        <w:tc>
          <w:tcPr>
            <w:tcW w:type="dxa" w:w="1800"/>
            <w:vAlign w:val="center"/>
            <w:tcMar>
              <w:top w:w="90" w:type="dxa"/>
              <w:start w:w="120" w:type="dxa"/>
              <w:bottom w:w="90" w:type="dxa"/>
              <w:end w:w="120" w:type="dxa"/>
            </w:tcMar>
          </w:tcPr>
          <w:p>
            <w:pPr>
              <w:jc w:val="center"/>
            </w:pPr>
            <w:r>
              <w:rPr>
                <w:color w:val="10263F"/>
                <w:sz w:val="17"/>
              </w:rPr>
              <w:t>$1,440.00</w:t>
            </w:r>
          </w:p>
        </w:tc>
        <w:tc>
          <w:tcPr>
            <w:tcW w:type="dxa" w:w="1584"/>
            <w:vAlign w:val="center"/>
            <w:tcMar>
              <w:top w:w="90" w:type="dxa"/>
              <w:start w:w="120" w:type="dxa"/>
              <w:bottom w:w="90" w:type="dxa"/>
              <w:end w:w="120" w:type="dxa"/>
            </w:tcMar>
          </w:tcPr>
          <w:p>
            <w:pPr>
              <w:jc w:val="center"/>
            </w:pPr>
            <w:r>
              <w:rPr>
                <w:color w:val="10263F"/>
                <w:sz w:val="17"/>
              </w:rPr>
              <w:t>$2,856.00</w:t>
            </w:r>
          </w:p>
        </w:tc>
      </w:tr>
      <w:tr>
        <w:tc>
          <w:tcPr>
            <w:tcW w:type="dxa" w:w="1944"/>
            <w:vAlign w:val="center"/>
            <w:tcMar>
              <w:top w:w="90" w:type="dxa"/>
              <w:start w:w="120" w:type="dxa"/>
              <w:bottom w:w="90" w:type="dxa"/>
              <w:end w:w="120" w:type="dxa"/>
            </w:tcMar>
            <w:shd w:fill="F4F7F9"/>
          </w:tcPr>
          <w:p>
            <w:pPr>
              <w:jc w:val="left"/>
            </w:pPr>
            <w:r>
              <w:rPr>
                <w:color w:val="10263F"/>
                <w:sz w:val="17"/>
              </w:rPr>
              <w:t>Ant Diamond</w:t>
            </w:r>
          </w:p>
        </w:tc>
        <w:tc>
          <w:tcPr>
            <w:tcW w:type="dxa" w:w="1512"/>
            <w:vAlign w:val="center"/>
            <w:tcMar>
              <w:top w:w="90" w:type="dxa"/>
              <w:start w:w="120" w:type="dxa"/>
              <w:bottom w:w="90" w:type="dxa"/>
              <w:end w:w="120" w:type="dxa"/>
            </w:tcMar>
            <w:shd w:fill="F4F7F9"/>
          </w:tcPr>
          <w:p>
            <w:pPr>
              <w:jc w:val="center"/>
            </w:pPr>
            <w:r>
              <w:rPr>
                <w:color w:val="10263F"/>
                <w:sz w:val="17"/>
              </w:rPr>
              <w:t>$19,840.00</w:t>
            </w:r>
          </w:p>
        </w:tc>
        <w:tc>
          <w:tcPr>
            <w:tcW w:type="dxa" w:w="1296"/>
            <w:vAlign w:val="center"/>
            <w:tcMar>
              <w:top w:w="90" w:type="dxa"/>
              <w:start w:w="120" w:type="dxa"/>
              <w:bottom w:w="90" w:type="dxa"/>
              <w:end w:w="120" w:type="dxa"/>
            </w:tcMar>
            <w:shd w:fill="F4F7F9"/>
          </w:tcPr>
          <w:p>
            <w:pPr>
              <w:jc w:val="center"/>
            </w:pPr>
            <w:r>
              <w:rPr>
                <w:color w:val="10263F"/>
                <w:sz w:val="17"/>
              </w:rPr>
              <w:t>$99.20</w:t>
            </w:r>
          </w:p>
        </w:tc>
        <w:tc>
          <w:tcPr>
            <w:tcW w:type="dxa" w:w="1224"/>
            <w:vAlign w:val="center"/>
            <w:tcMar>
              <w:top w:w="90" w:type="dxa"/>
              <w:start w:w="120" w:type="dxa"/>
              <w:bottom w:w="90" w:type="dxa"/>
              <w:end w:w="120" w:type="dxa"/>
            </w:tcMar>
            <w:shd w:fill="F4F7F9"/>
          </w:tcPr>
          <w:p>
            <w:pPr>
              <w:jc w:val="center"/>
            </w:pPr>
            <w:r>
              <w:rPr>
                <w:color w:val="10263F"/>
                <w:sz w:val="17"/>
              </w:rPr>
              <w:t>$1,984.00</w:t>
            </w:r>
          </w:p>
        </w:tc>
        <w:tc>
          <w:tcPr>
            <w:tcW w:type="dxa" w:w="1800"/>
            <w:vAlign w:val="center"/>
            <w:tcMar>
              <w:top w:w="90" w:type="dxa"/>
              <w:start w:w="120" w:type="dxa"/>
              <w:bottom w:w="90" w:type="dxa"/>
              <w:end w:w="120" w:type="dxa"/>
            </w:tcMar>
            <w:shd w:fill="F4F7F9"/>
          </w:tcPr>
          <w:p>
            <w:pPr>
              <w:jc w:val="center"/>
            </w:pPr>
            <w:r>
              <w:rPr>
                <w:color w:val="10263F"/>
                <w:sz w:val="17"/>
              </w:rPr>
              <w:t>$5,952.00</w:t>
            </w:r>
          </w:p>
        </w:tc>
        <w:tc>
          <w:tcPr>
            <w:tcW w:type="dxa" w:w="1584"/>
            <w:vAlign w:val="center"/>
            <w:tcMar>
              <w:top w:w="90" w:type="dxa"/>
              <w:start w:w="120" w:type="dxa"/>
              <w:bottom w:w="90" w:type="dxa"/>
              <w:end w:w="120" w:type="dxa"/>
            </w:tcMar>
            <w:shd w:fill="F4F7F9"/>
          </w:tcPr>
          <w:p>
            <w:pPr>
              <w:jc w:val="center"/>
            </w:pPr>
            <w:r>
              <w:rPr>
                <w:color w:val="10263F"/>
                <w:sz w:val="17"/>
              </w:rPr>
              <w:t>$11,804.80</w:t>
            </w:r>
          </w:p>
        </w:tc>
      </w:tr>
      <w:tr>
        <w:tc>
          <w:tcPr>
            <w:tcW w:type="dxa" w:w="1944"/>
            <w:vAlign w:val="center"/>
            <w:tcMar>
              <w:top w:w="90" w:type="dxa"/>
              <w:start w:w="120" w:type="dxa"/>
              <w:bottom w:w="90" w:type="dxa"/>
              <w:end w:w="120" w:type="dxa"/>
            </w:tcMar>
          </w:tcPr>
          <w:p>
            <w:pPr>
              <w:jc w:val="left"/>
            </w:pPr>
            <w:r>
              <w:rPr>
                <w:color w:val="10263F"/>
                <w:sz w:val="17"/>
              </w:rPr>
              <w:t>Ant Crown</w:t>
            </w:r>
          </w:p>
        </w:tc>
        <w:tc>
          <w:tcPr>
            <w:tcW w:type="dxa" w:w="1512"/>
            <w:vAlign w:val="center"/>
            <w:tcMar>
              <w:top w:w="90" w:type="dxa"/>
              <w:start w:w="120" w:type="dxa"/>
              <w:bottom w:w="90" w:type="dxa"/>
              <w:end w:w="120" w:type="dxa"/>
            </w:tcMar>
          </w:tcPr>
          <w:p>
            <w:pPr>
              <w:jc w:val="center"/>
            </w:pPr>
            <w:r>
              <w:rPr>
                <w:color w:val="10263F"/>
                <w:sz w:val="17"/>
              </w:rPr>
              <w:t>$80,640.00</w:t>
            </w:r>
          </w:p>
        </w:tc>
        <w:tc>
          <w:tcPr>
            <w:tcW w:type="dxa" w:w="1296"/>
            <w:vAlign w:val="center"/>
            <w:tcMar>
              <w:top w:w="90" w:type="dxa"/>
              <w:start w:w="120" w:type="dxa"/>
              <w:bottom w:w="90" w:type="dxa"/>
              <w:end w:w="120" w:type="dxa"/>
            </w:tcMar>
          </w:tcPr>
          <w:p>
            <w:pPr>
              <w:jc w:val="center"/>
            </w:pPr>
            <w:r>
              <w:rPr>
                <w:color w:val="10263F"/>
                <w:sz w:val="17"/>
              </w:rPr>
              <w:t>$403.20</w:t>
            </w:r>
          </w:p>
        </w:tc>
        <w:tc>
          <w:tcPr>
            <w:tcW w:type="dxa" w:w="1224"/>
            <w:vAlign w:val="center"/>
            <w:tcMar>
              <w:top w:w="90" w:type="dxa"/>
              <w:start w:w="120" w:type="dxa"/>
              <w:bottom w:w="90" w:type="dxa"/>
              <w:end w:w="120" w:type="dxa"/>
            </w:tcMar>
          </w:tcPr>
          <w:p>
            <w:pPr>
              <w:jc w:val="center"/>
            </w:pPr>
            <w:r>
              <w:rPr>
                <w:color w:val="10263F"/>
                <w:sz w:val="17"/>
              </w:rPr>
              <w:t>$8,064.00</w:t>
            </w:r>
          </w:p>
        </w:tc>
        <w:tc>
          <w:tcPr>
            <w:tcW w:type="dxa" w:w="1800"/>
            <w:vAlign w:val="center"/>
            <w:tcMar>
              <w:top w:w="90" w:type="dxa"/>
              <w:start w:w="120" w:type="dxa"/>
              <w:bottom w:w="90" w:type="dxa"/>
              <w:end w:w="120" w:type="dxa"/>
            </w:tcMar>
          </w:tcPr>
          <w:p>
            <w:pPr>
              <w:jc w:val="center"/>
            </w:pPr>
            <w:r>
              <w:rPr>
                <w:color w:val="10263F"/>
                <w:sz w:val="17"/>
              </w:rPr>
              <w:t>$0.00</w:t>
            </w:r>
          </w:p>
        </w:tc>
        <w:tc>
          <w:tcPr>
            <w:tcW w:type="dxa" w:w="1584"/>
            <w:vAlign w:val="center"/>
            <w:tcMar>
              <w:top w:w="90" w:type="dxa"/>
              <w:start w:w="120" w:type="dxa"/>
              <w:bottom w:w="90" w:type="dxa"/>
              <w:end w:w="120" w:type="dxa"/>
            </w:tcMar>
          </w:tcPr>
          <w:p>
            <w:pPr>
              <w:jc w:val="center"/>
            </w:pPr>
            <w:r>
              <w:rPr>
                <w:color w:val="10263F"/>
                <w:sz w:val="17"/>
              </w:rPr>
              <w:t>$72,172.80</w:t>
            </w:r>
          </w:p>
        </w:tc>
      </w:tr>
    </w:tbl>
    <w:p>
      <w:pPr>
        <w:spacing w:after="40"/>
      </w:pPr>
    </w:p>
    <w:tbl>
      <w:tblPr>
        <w:tblW w:type="auto" w:w="0"/>
        <w:tblLayout w:type="fixed"/>
        <w:tblLook w:firstColumn="1" w:firstRow="1" w:lastColumn="0" w:lastRow="0" w:noHBand="0" w:noVBand="1" w:val="04A0"/>
      </w:tblPr>
      <w:tblGrid>
        <w:gridCol w:w="9360"/>
      </w:tblGrid>
      <w:tr>
        <w:trPr>
          <w:cantSplit/>
        </w:trPr>
        <w:tc>
          <w:tcPr>
            <w:tcW w:type="dxa" w:w="9360"/>
            <w:shd w:fill="FFF4D6"/>
            <w:tcMar>
              <w:top w:w="160" w:type="dxa"/>
              <w:start w:w="180" w:type="dxa"/>
              <w:bottom w:w="160" w:type="dxa"/>
              <w:end w:w="180" w:type="dxa"/>
            </w:tcMar>
          </w:tcPr>
          <w:p>
            <w:r>
              <w:rPr>
                <w:b/>
                <w:color w:val="071C31"/>
                <w:sz w:val="22"/>
              </w:rPr>
              <w:t>Tax note</w:t>
              <w:br/>
            </w:r>
            <w:r>
              <w:rPr>
                <w:color w:val="10263F"/>
                <w:sz w:val="20"/>
              </w:rPr>
              <w:t>The 10% line is a supplied planning assumption, not a legal tax determination. A qualified Ghana tax adviser must confirm the correct tax treatment, payer, base, withholding timing, reporting and member documentation before launch.</w:t>
            </w:r>
          </w:p>
        </w:tc>
      </w:tr>
    </w:tbl>
    <w:p>
      <w:pPr>
        <w:spacing w:after="40"/>
      </w:pPr>
    </w:p>
    <w:p>
      <w:pPr>
        <w:pStyle w:val="Heading1"/>
      </w:pPr>
      <w:r>
        <w:t>4. Downline earnings - five generations</w:t>
      </w:r>
    </w:p>
    <w:p>
      <w:r>
        <w:t>The supplied illustration applies generation percentages to an eligible member's net board payout. These amounts are examples, not promises.</w:t>
      </w:r>
    </w:p>
    <w:tbl>
      <w:tblPr>
        <w:tblStyle w:val="TableGrid"/>
        <w:tblW w:type="auto" w:w="0"/>
        <w:jc w:val="center"/>
        <w:tblLayout w:type="fixed"/>
        <w:tblLook w:firstColumn="1" w:firstRow="1" w:lastColumn="0" w:lastRow="0" w:noHBand="0" w:noVBand="1" w:val="04A0"/>
      </w:tblPr>
      <w:tblGrid>
        <w:gridCol w:w="1337"/>
        <w:gridCol w:w="1337"/>
        <w:gridCol w:w="1337"/>
        <w:gridCol w:w="1337"/>
        <w:gridCol w:w="1337"/>
        <w:gridCol w:w="1337"/>
        <w:gridCol w:w="1337"/>
      </w:tblGrid>
      <w:tr>
        <w:trPr>
          <w:tblHeader w:val="true"/>
        </w:trPr>
        <w:tc>
          <w:tcPr>
            <w:tcW w:type="dxa" w:w="1656"/>
            <w:shd w:fill="071C31"/>
            <w:tcMar>
              <w:top w:w="90" w:type="dxa"/>
              <w:start w:w="120" w:type="dxa"/>
              <w:bottom w:w="90" w:type="dxa"/>
              <w:end w:w="120" w:type="dxa"/>
            </w:tcMar>
          </w:tcPr>
          <w:p>
            <w:pPr>
              <w:jc w:val="center"/>
            </w:pPr>
            <w:r>
              <w:rPr>
                <w:b/>
                <w:color w:val="FFFFFF"/>
                <w:sz w:val="17"/>
              </w:rPr>
              <w:t>Board</w:t>
            </w:r>
          </w:p>
        </w:tc>
        <w:tc>
          <w:tcPr>
            <w:tcW w:type="dxa" w:w="1440"/>
            <w:shd w:fill="071C31"/>
            <w:tcMar>
              <w:top w:w="90" w:type="dxa"/>
              <w:start w:w="120" w:type="dxa"/>
              <w:bottom w:w="90" w:type="dxa"/>
              <w:end w:w="120" w:type="dxa"/>
            </w:tcMar>
          </w:tcPr>
          <w:p>
            <w:pPr>
              <w:jc w:val="center"/>
            </w:pPr>
            <w:r>
              <w:rPr>
                <w:b/>
                <w:color w:val="FFFFFF"/>
                <w:sz w:val="17"/>
              </w:rPr>
              <w:t>Net payout</w:t>
            </w:r>
          </w:p>
        </w:tc>
        <w:tc>
          <w:tcPr>
            <w:tcW w:type="dxa" w:w="1238"/>
            <w:shd w:fill="071C31"/>
            <w:tcMar>
              <w:top w:w="90" w:type="dxa"/>
              <w:start w:w="120" w:type="dxa"/>
              <w:bottom w:w="90" w:type="dxa"/>
              <w:end w:w="120" w:type="dxa"/>
            </w:tcMar>
          </w:tcPr>
          <w:p>
            <w:pPr>
              <w:jc w:val="center"/>
            </w:pPr>
            <w:r>
              <w:rPr>
                <w:b/>
                <w:color w:val="FFFFFF"/>
                <w:sz w:val="17"/>
              </w:rPr>
              <w:t>Gen 1 - 5%</w:t>
            </w:r>
          </w:p>
        </w:tc>
        <w:tc>
          <w:tcPr>
            <w:tcW w:type="dxa" w:w="1238"/>
            <w:shd w:fill="071C31"/>
            <w:tcMar>
              <w:top w:w="90" w:type="dxa"/>
              <w:start w:w="120" w:type="dxa"/>
              <w:bottom w:w="90" w:type="dxa"/>
              <w:end w:w="120" w:type="dxa"/>
            </w:tcMar>
          </w:tcPr>
          <w:p>
            <w:pPr>
              <w:jc w:val="center"/>
            </w:pPr>
            <w:r>
              <w:rPr>
                <w:b/>
                <w:color w:val="FFFFFF"/>
                <w:sz w:val="17"/>
              </w:rPr>
              <w:t>Gen 2 - 4%</w:t>
            </w:r>
          </w:p>
        </w:tc>
        <w:tc>
          <w:tcPr>
            <w:tcW w:type="dxa" w:w="1238"/>
            <w:shd w:fill="071C31"/>
            <w:tcMar>
              <w:top w:w="90" w:type="dxa"/>
              <w:start w:w="120" w:type="dxa"/>
              <w:bottom w:w="90" w:type="dxa"/>
              <w:end w:w="120" w:type="dxa"/>
            </w:tcMar>
          </w:tcPr>
          <w:p>
            <w:pPr>
              <w:jc w:val="center"/>
            </w:pPr>
            <w:r>
              <w:rPr>
                <w:b/>
                <w:color w:val="FFFFFF"/>
                <w:sz w:val="17"/>
              </w:rPr>
              <w:t>Gen 3 - 3%</w:t>
            </w:r>
          </w:p>
        </w:tc>
        <w:tc>
          <w:tcPr>
            <w:tcW w:type="dxa" w:w="1238"/>
            <w:shd w:fill="071C31"/>
            <w:tcMar>
              <w:top w:w="90" w:type="dxa"/>
              <w:start w:w="120" w:type="dxa"/>
              <w:bottom w:w="90" w:type="dxa"/>
              <w:end w:w="120" w:type="dxa"/>
            </w:tcMar>
          </w:tcPr>
          <w:p>
            <w:pPr>
              <w:jc w:val="center"/>
            </w:pPr>
            <w:r>
              <w:rPr>
                <w:b/>
                <w:color w:val="FFFFFF"/>
                <w:sz w:val="17"/>
              </w:rPr>
              <w:t>Gen 4 - 2%</w:t>
            </w:r>
          </w:p>
        </w:tc>
        <w:tc>
          <w:tcPr>
            <w:tcW w:type="dxa" w:w="1238"/>
            <w:shd w:fill="071C31"/>
            <w:tcMar>
              <w:top w:w="90" w:type="dxa"/>
              <w:start w:w="120" w:type="dxa"/>
              <w:bottom w:w="90" w:type="dxa"/>
              <w:end w:w="120" w:type="dxa"/>
            </w:tcMar>
          </w:tcPr>
          <w:p>
            <w:pPr>
              <w:jc w:val="center"/>
            </w:pPr>
            <w:r>
              <w:rPr>
                <w:b/>
                <w:color w:val="FFFFFF"/>
                <w:sz w:val="17"/>
              </w:rPr>
              <w:t>Gen 5 - 1%</w:t>
            </w:r>
          </w:p>
        </w:tc>
      </w:tr>
      <w:tr>
        <w:tc>
          <w:tcPr>
            <w:tcW w:type="dxa" w:w="1656"/>
            <w:vAlign w:val="center"/>
            <w:tcMar>
              <w:top w:w="90" w:type="dxa"/>
              <w:start w:w="120" w:type="dxa"/>
              <w:bottom w:w="90" w:type="dxa"/>
              <w:end w:w="120" w:type="dxa"/>
            </w:tcMar>
          </w:tcPr>
          <w:p>
            <w:pPr>
              <w:jc w:val="left"/>
            </w:pPr>
            <w:r>
              <w:rPr>
                <w:color w:val="10263F"/>
                <w:sz w:val="17"/>
              </w:rPr>
              <w:t>Ant Starter</w:t>
            </w:r>
          </w:p>
        </w:tc>
        <w:tc>
          <w:tcPr>
            <w:tcW w:type="dxa" w:w="1440"/>
            <w:vAlign w:val="center"/>
            <w:tcMar>
              <w:top w:w="90" w:type="dxa"/>
              <w:start w:w="120" w:type="dxa"/>
              <w:bottom w:w="90" w:type="dxa"/>
              <w:end w:w="120" w:type="dxa"/>
            </w:tcMar>
          </w:tcPr>
          <w:p>
            <w:pPr>
              <w:jc w:val="center"/>
            </w:pPr>
            <w:r>
              <w:rPr>
                <w:color w:val="10263F"/>
                <w:sz w:val="17"/>
              </w:rPr>
              <w:t>$142.80</w:t>
            </w:r>
          </w:p>
        </w:tc>
        <w:tc>
          <w:tcPr>
            <w:tcW w:type="dxa" w:w="1238"/>
            <w:vAlign w:val="center"/>
            <w:tcMar>
              <w:top w:w="90" w:type="dxa"/>
              <w:start w:w="120" w:type="dxa"/>
              <w:bottom w:w="90" w:type="dxa"/>
              <w:end w:w="120" w:type="dxa"/>
            </w:tcMar>
          </w:tcPr>
          <w:p>
            <w:pPr>
              <w:jc w:val="center"/>
            </w:pPr>
            <w:r>
              <w:rPr>
                <w:color w:val="10263F"/>
                <w:sz w:val="17"/>
              </w:rPr>
              <w:t>$7.14</w:t>
            </w:r>
          </w:p>
        </w:tc>
        <w:tc>
          <w:tcPr>
            <w:tcW w:type="dxa" w:w="1238"/>
            <w:vAlign w:val="center"/>
            <w:tcMar>
              <w:top w:w="90" w:type="dxa"/>
              <w:start w:w="120" w:type="dxa"/>
              <w:bottom w:w="90" w:type="dxa"/>
              <w:end w:w="120" w:type="dxa"/>
            </w:tcMar>
          </w:tcPr>
          <w:p>
            <w:pPr>
              <w:jc w:val="center"/>
            </w:pPr>
            <w:r>
              <w:rPr>
                <w:color w:val="10263F"/>
                <w:sz w:val="17"/>
              </w:rPr>
              <w:t>$5.71</w:t>
            </w:r>
          </w:p>
        </w:tc>
        <w:tc>
          <w:tcPr>
            <w:tcW w:type="dxa" w:w="1238"/>
            <w:vAlign w:val="center"/>
            <w:tcMar>
              <w:top w:w="90" w:type="dxa"/>
              <w:start w:w="120" w:type="dxa"/>
              <w:bottom w:w="90" w:type="dxa"/>
              <w:end w:w="120" w:type="dxa"/>
            </w:tcMar>
          </w:tcPr>
          <w:p>
            <w:pPr>
              <w:jc w:val="center"/>
            </w:pPr>
            <w:r>
              <w:rPr>
                <w:color w:val="10263F"/>
                <w:sz w:val="17"/>
              </w:rPr>
              <w:t>$4.28</w:t>
            </w:r>
          </w:p>
        </w:tc>
        <w:tc>
          <w:tcPr>
            <w:tcW w:type="dxa" w:w="1238"/>
            <w:vAlign w:val="center"/>
            <w:tcMar>
              <w:top w:w="90" w:type="dxa"/>
              <w:start w:w="120" w:type="dxa"/>
              <w:bottom w:w="90" w:type="dxa"/>
              <w:end w:w="120" w:type="dxa"/>
            </w:tcMar>
          </w:tcPr>
          <w:p>
            <w:pPr>
              <w:jc w:val="center"/>
            </w:pPr>
            <w:r>
              <w:rPr>
                <w:color w:val="10263F"/>
                <w:sz w:val="17"/>
              </w:rPr>
              <w:t>$2.86</w:t>
            </w:r>
          </w:p>
        </w:tc>
        <w:tc>
          <w:tcPr>
            <w:tcW w:type="dxa" w:w="1238"/>
            <w:vAlign w:val="center"/>
            <w:tcMar>
              <w:top w:w="90" w:type="dxa"/>
              <w:start w:w="120" w:type="dxa"/>
              <w:bottom w:w="90" w:type="dxa"/>
              <w:end w:w="120" w:type="dxa"/>
            </w:tcMar>
          </w:tcPr>
          <w:p>
            <w:pPr>
              <w:jc w:val="center"/>
            </w:pPr>
            <w:r>
              <w:rPr>
                <w:color w:val="10263F"/>
                <w:sz w:val="17"/>
              </w:rPr>
              <w:t>$1.43</w:t>
            </w:r>
          </w:p>
        </w:tc>
      </w:tr>
      <w:tr>
        <w:tc>
          <w:tcPr>
            <w:tcW w:type="dxa" w:w="1656"/>
            <w:vAlign w:val="center"/>
            <w:tcMar>
              <w:top w:w="90" w:type="dxa"/>
              <w:start w:w="120" w:type="dxa"/>
              <w:bottom w:w="90" w:type="dxa"/>
              <w:end w:w="120" w:type="dxa"/>
            </w:tcMar>
            <w:shd w:fill="F4F7F9"/>
          </w:tcPr>
          <w:p>
            <w:pPr>
              <w:jc w:val="left"/>
            </w:pPr>
            <w:r>
              <w:rPr>
                <w:color w:val="10263F"/>
                <w:sz w:val="17"/>
              </w:rPr>
              <w:t>Ant Platinum</w:t>
            </w:r>
          </w:p>
        </w:tc>
        <w:tc>
          <w:tcPr>
            <w:tcW w:type="dxa" w:w="1440"/>
            <w:vAlign w:val="center"/>
            <w:tcMar>
              <w:top w:w="90" w:type="dxa"/>
              <w:start w:w="120" w:type="dxa"/>
              <w:bottom w:w="90" w:type="dxa"/>
              <w:end w:w="120" w:type="dxa"/>
            </w:tcMar>
            <w:shd w:fill="F4F7F9"/>
          </w:tcPr>
          <w:p>
            <w:pPr>
              <w:jc w:val="center"/>
            </w:pPr>
            <w:r>
              <w:rPr>
                <w:color w:val="10263F"/>
                <w:sz w:val="17"/>
              </w:rPr>
              <w:t>$666.40</w:t>
            </w:r>
          </w:p>
        </w:tc>
        <w:tc>
          <w:tcPr>
            <w:tcW w:type="dxa" w:w="1238"/>
            <w:vAlign w:val="center"/>
            <w:tcMar>
              <w:top w:w="90" w:type="dxa"/>
              <w:start w:w="120" w:type="dxa"/>
              <w:bottom w:w="90" w:type="dxa"/>
              <w:end w:w="120" w:type="dxa"/>
            </w:tcMar>
            <w:shd w:fill="F4F7F9"/>
          </w:tcPr>
          <w:p>
            <w:pPr>
              <w:jc w:val="center"/>
            </w:pPr>
            <w:r>
              <w:rPr>
                <w:color w:val="10263F"/>
                <w:sz w:val="17"/>
              </w:rPr>
              <w:t>$33.32</w:t>
            </w:r>
          </w:p>
        </w:tc>
        <w:tc>
          <w:tcPr>
            <w:tcW w:type="dxa" w:w="1238"/>
            <w:vAlign w:val="center"/>
            <w:tcMar>
              <w:top w:w="90" w:type="dxa"/>
              <w:start w:w="120" w:type="dxa"/>
              <w:bottom w:w="90" w:type="dxa"/>
              <w:end w:w="120" w:type="dxa"/>
            </w:tcMar>
            <w:shd w:fill="F4F7F9"/>
          </w:tcPr>
          <w:p>
            <w:pPr>
              <w:jc w:val="center"/>
            </w:pPr>
            <w:r>
              <w:rPr>
                <w:color w:val="10263F"/>
                <w:sz w:val="17"/>
              </w:rPr>
              <w:t>$26.66</w:t>
            </w:r>
          </w:p>
        </w:tc>
        <w:tc>
          <w:tcPr>
            <w:tcW w:type="dxa" w:w="1238"/>
            <w:vAlign w:val="center"/>
            <w:tcMar>
              <w:top w:w="90" w:type="dxa"/>
              <w:start w:w="120" w:type="dxa"/>
              <w:bottom w:w="90" w:type="dxa"/>
              <w:end w:w="120" w:type="dxa"/>
            </w:tcMar>
            <w:shd w:fill="F4F7F9"/>
          </w:tcPr>
          <w:p>
            <w:pPr>
              <w:jc w:val="center"/>
            </w:pPr>
            <w:r>
              <w:rPr>
                <w:color w:val="10263F"/>
                <w:sz w:val="17"/>
              </w:rPr>
              <w:t>$19.99</w:t>
            </w:r>
          </w:p>
        </w:tc>
        <w:tc>
          <w:tcPr>
            <w:tcW w:type="dxa" w:w="1238"/>
            <w:vAlign w:val="center"/>
            <w:tcMar>
              <w:top w:w="90" w:type="dxa"/>
              <w:start w:w="120" w:type="dxa"/>
              <w:bottom w:w="90" w:type="dxa"/>
              <w:end w:w="120" w:type="dxa"/>
            </w:tcMar>
            <w:shd w:fill="F4F7F9"/>
          </w:tcPr>
          <w:p>
            <w:pPr>
              <w:jc w:val="center"/>
            </w:pPr>
            <w:r>
              <w:rPr>
                <w:color w:val="10263F"/>
                <w:sz w:val="17"/>
              </w:rPr>
              <w:t>$13.33</w:t>
            </w:r>
          </w:p>
        </w:tc>
        <w:tc>
          <w:tcPr>
            <w:tcW w:type="dxa" w:w="1238"/>
            <w:vAlign w:val="center"/>
            <w:tcMar>
              <w:top w:w="90" w:type="dxa"/>
              <w:start w:w="120" w:type="dxa"/>
              <w:bottom w:w="90" w:type="dxa"/>
              <w:end w:w="120" w:type="dxa"/>
            </w:tcMar>
            <w:shd w:fill="F4F7F9"/>
          </w:tcPr>
          <w:p>
            <w:pPr>
              <w:jc w:val="center"/>
            </w:pPr>
            <w:r>
              <w:rPr>
                <w:color w:val="10263F"/>
                <w:sz w:val="17"/>
              </w:rPr>
              <w:t>$6.66</w:t>
            </w:r>
          </w:p>
        </w:tc>
      </w:tr>
      <w:tr>
        <w:tc>
          <w:tcPr>
            <w:tcW w:type="dxa" w:w="1656"/>
            <w:vAlign w:val="center"/>
            <w:tcMar>
              <w:top w:w="90" w:type="dxa"/>
              <w:start w:w="120" w:type="dxa"/>
              <w:bottom w:w="90" w:type="dxa"/>
              <w:end w:w="120" w:type="dxa"/>
            </w:tcMar>
          </w:tcPr>
          <w:p>
            <w:pPr>
              <w:jc w:val="left"/>
            </w:pPr>
            <w:r>
              <w:rPr>
                <w:color w:val="10263F"/>
                <w:sz w:val="17"/>
              </w:rPr>
              <w:t>Ant Gold</w:t>
            </w:r>
          </w:p>
        </w:tc>
        <w:tc>
          <w:tcPr>
            <w:tcW w:type="dxa" w:w="1440"/>
            <w:vAlign w:val="center"/>
            <w:tcMar>
              <w:top w:w="90" w:type="dxa"/>
              <w:start w:w="120" w:type="dxa"/>
              <w:bottom w:w="90" w:type="dxa"/>
              <w:end w:w="120" w:type="dxa"/>
            </w:tcMar>
          </w:tcPr>
          <w:p>
            <w:pPr>
              <w:jc w:val="center"/>
            </w:pPr>
            <w:r>
              <w:rPr>
                <w:color w:val="10263F"/>
                <w:sz w:val="17"/>
              </w:rPr>
              <w:t>$2,856.00</w:t>
            </w:r>
          </w:p>
        </w:tc>
        <w:tc>
          <w:tcPr>
            <w:tcW w:type="dxa" w:w="1238"/>
            <w:vAlign w:val="center"/>
            <w:tcMar>
              <w:top w:w="90" w:type="dxa"/>
              <w:start w:w="120" w:type="dxa"/>
              <w:bottom w:w="90" w:type="dxa"/>
              <w:end w:w="120" w:type="dxa"/>
            </w:tcMar>
          </w:tcPr>
          <w:p>
            <w:pPr>
              <w:jc w:val="center"/>
            </w:pPr>
            <w:r>
              <w:rPr>
                <w:color w:val="10263F"/>
                <w:sz w:val="17"/>
              </w:rPr>
              <w:t>$142.80</w:t>
            </w:r>
          </w:p>
        </w:tc>
        <w:tc>
          <w:tcPr>
            <w:tcW w:type="dxa" w:w="1238"/>
            <w:vAlign w:val="center"/>
            <w:tcMar>
              <w:top w:w="90" w:type="dxa"/>
              <w:start w:w="120" w:type="dxa"/>
              <w:bottom w:w="90" w:type="dxa"/>
              <w:end w:w="120" w:type="dxa"/>
            </w:tcMar>
          </w:tcPr>
          <w:p>
            <w:pPr>
              <w:jc w:val="center"/>
            </w:pPr>
            <w:r>
              <w:rPr>
                <w:color w:val="10263F"/>
                <w:sz w:val="17"/>
              </w:rPr>
              <w:t>$114.24</w:t>
            </w:r>
          </w:p>
        </w:tc>
        <w:tc>
          <w:tcPr>
            <w:tcW w:type="dxa" w:w="1238"/>
            <w:vAlign w:val="center"/>
            <w:tcMar>
              <w:top w:w="90" w:type="dxa"/>
              <w:start w:w="120" w:type="dxa"/>
              <w:bottom w:w="90" w:type="dxa"/>
              <w:end w:w="120" w:type="dxa"/>
            </w:tcMar>
          </w:tcPr>
          <w:p>
            <w:pPr>
              <w:jc w:val="center"/>
            </w:pPr>
            <w:r>
              <w:rPr>
                <w:color w:val="10263F"/>
                <w:sz w:val="17"/>
              </w:rPr>
              <w:t>$85.68</w:t>
            </w:r>
          </w:p>
        </w:tc>
        <w:tc>
          <w:tcPr>
            <w:tcW w:type="dxa" w:w="1238"/>
            <w:vAlign w:val="center"/>
            <w:tcMar>
              <w:top w:w="90" w:type="dxa"/>
              <w:start w:w="120" w:type="dxa"/>
              <w:bottom w:w="90" w:type="dxa"/>
              <w:end w:w="120" w:type="dxa"/>
            </w:tcMar>
          </w:tcPr>
          <w:p>
            <w:pPr>
              <w:jc w:val="center"/>
            </w:pPr>
            <w:r>
              <w:rPr>
                <w:color w:val="10263F"/>
                <w:sz w:val="17"/>
              </w:rPr>
              <w:t>$57.12</w:t>
            </w:r>
          </w:p>
        </w:tc>
        <w:tc>
          <w:tcPr>
            <w:tcW w:type="dxa" w:w="1238"/>
            <w:vAlign w:val="center"/>
            <w:tcMar>
              <w:top w:w="90" w:type="dxa"/>
              <w:start w:w="120" w:type="dxa"/>
              <w:bottom w:w="90" w:type="dxa"/>
              <w:end w:w="120" w:type="dxa"/>
            </w:tcMar>
          </w:tcPr>
          <w:p>
            <w:pPr>
              <w:jc w:val="center"/>
            </w:pPr>
            <w:r>
              <w:rPr>
                <w:color w:val="10263F"/>
                <w:sz w:val="17"/>
              </w:rPr>
              <w:t>$28.56</w:t>
            </w:r>
          </w:p>
        </w:tc>
      </w:tr>
      <w:tr>
        <w:tc>
          <w:tcPr>
            <w:tcW w:type="dxa" w:w="1656"/>
            <w:vAlign w:val="center"/>
            <w:tcMar>
              <w:top w:w="90" w:type="dxa"/>
              <w:start w:w="120" w:type="dxa"/>
              <w:bottom w:w="90" w:type="dxa"/>
              <w:end w:w="120" w:type="dxa"/>
            </w:tcMar>
            <w:shd w:fill="F4F7F9"/>
          </w:tcPr>
          <w:p>
            <w:pPr>
              <w:jc w:val="left"/>
            </w:pPr>
            <w:r>
              <w:rPr>
                <w:color w:val="10263F"/>
                <w:sz w:val="17"/>
              </w:rPr>
              <w:t>Ant Diamond</w:t>
            </w:r>
          </w:p>
        </w:tc>
        <w:tc>
          <w:tcPr>
            <w:tcW w:type="dxa" w:w="1440"/>
            <w:vAlign w:val="center"/>
            <w:tcMar>
              <w:top w:w="90" w:type="dxa"/>
              <w:start w:w="120" w:type="dxa"/>
              <w:bottom w:w="90" w:type="dxa"/>
              <w:end w:w="120" w:type="dxa"/>
            </w:tcMar>
            <w:shd w:fill="F4F7F9"/>
          </w:tcPr>
          <w:p>
            <w:pPr>
              <w:jc w:val="center"/>
            </w:pPr>
            <w:r>
              <w:rPr>
                <w:color w:val="10263F"/>
                <w:sz w:val="17"/>
              </w:rPr>
              <w:t>$11,804.80</w:t>
            </w:r>
          </w:p>
        </w:tc>
        <w:tc>
          <w:tcPr>
            <w:tcW w:type="dxa" w:w="1238"/>
            <w:vAlign w:val="center"/>
            <w:tcMar>
              <w:top w:w="90" w:type="dxa"/>
              <w:start w:w="120" w:type="dxa"/>
              <w:bottom w:w="90" w:type="dxa"/>
              <w:end w:w="120" w:type="dxa"/>
            </w:tcMar>
            <w:shd w:fill="F4F7F9"/>
          </w:tcPr>
          <w:p>
            <w:pPr>
              <w:jc w:val="center"/>
            </w:pPr>
            <w:r>
              <w:rPr>
                <w:color w:val="10263F"/>
                <w:sz w:val="17"/>
              </w:rPr>
              <w:t>$590.24</w:t>
            </w:r>
          </w:p>
        </w:tc>
        <w:tc>
          <w:tcPr>
            <w:tcW w:type="dxa" w:w="1238"/>
            <w:vAlign w:val="center"/>
            <w:tcMar>
              <w:top w:w="90" w:type="dxa"/>
              <w:start w:w="120" w:type="dxa"/>
              <w:bottom w:w="90" w:type="dxa"/>
              <w:end w:w="120" w:type="dxa"/>
            </w:tcMar>
            <w:shd w:fill="F4F7F9"/>
          </w:tcPr>
          <w:p>
            <w:pPr>
              <w:jc w:val="center"/>
            </w:pPr>
            <w:r>
              <w:rPr>
                <w:color w:val="10263F"/>
                <w:sz w:val="17"/>
              </w:rPr>
              <w:t>$472.19</w:t>
            </w:r>
          </w:p>
        </w:tc>
        <w:tc>
          <w:tcPr>
            <w:tcW w:type="dxa" w:w="1238"/>
            <w:vAlign w:val="center"/>
            <w:tcMar>
              <w:top w:w="90" w:type="dxa"/>
              <w:start w:w="120" w:type="dxa"/>
              <w:bottom w:w="90" w:type="dxa"/>
              <w:end w:w="120" w:type="dxa"/>
            </w:tcMar>
            <w:shd w:fill="F4F7F9"/>
          </w:tcPr>
          <w:p>
            <w:pPr>
              <w:jc w:val="center"/>
            </w:pPr>
            <w:r>
              <w:rPr>
                <w:color w:val="10263F"/>
                <w:sz w:val="17"/>
              </w:rPr>
              <w:t>$354.14</w:t>
            </w:r>
          </w:p>
        </w:tc>
        <w:tc>
          <w:tcPr>
            <w:tcW w:type="dxa" w:w="1238"/>
            <w:vAlign w:val="center"/>
            <w:tcMar>
              <w:top w:w="90" w:type="dxa"/>
              <w:start w:w="120" w:type="dxa"/>
              <w:bottom w:w="90" w:type="dxa"/>
              <w:end w:w="120" w:type="dxa"/>
            </w:tcMar>
            <w:shd w:fill="F4F7F9"/>
          </w:tcPr>
          <w:p>
            <w:pPr>
              <w:jc w:val="center"/>
            </w:pPr>
            <w:r>
              <w:rPr>
                <w:color w:val="10263F"/>
                <w:sz w:val="17"/>
              </w:rPr>
              <w:t>$236.10</w:t>
            </w:r>
          </w:p>
        </w:tc>
        <w:tc>
          <w:tcPr>
            <w:tcW w:type="dxa" w:w="1238"/>
            <w:vAlign w:val="center"/>
            <w:tcMar>
              <w:top w:w="90" w:type="dxa"/>
              <w:start w:w="120" w:type="dxa"/>
              <w:bottom w:w="90" w:type="dxa"/>
              <w:end w:w="120" w:type="dxa"/>
            </w:tcMar>
            <w:shd w:fill="F4F7F9"/>
          </w:tcPr>
          <w:p>
            <w:pPr>
              <w:jc w:val="center"/>
            </w:pPr>
            <w:r>
              <w:rPr>
                <w:color w:val="10263F"/>
                <w:sz w:val="17"/>
              </w:rPr>
              <w:t>$118.05</w:t>
            </w:r>
          </w:p>
        </w:tc>
      </w:tr>
      <w:tr>
        <w:tc>
          <w:tcPr>
            <w:tcW w:type="dxa" w:w="1656"/>
            <w:vAlign w:val="center"/>
            <w:tcMar>
              <w:top w:w="90" w:type="dxa"/>
              <w:start w:w="120" w:type="dxa"/>
              <w:bottom w:w="90" w:type="dxa"/>
              <w:end w:w="120" w:type="dxa"/>
            </w:tcMar>
          </w:tcPr>
          <w:p>
            <w:pPr>
              <w:jc w:val="left"/>
            </w:pPr>
            <w:r>
              <w:rPr>
                <w:color w:val="10263F"/>
                <w:sz w:val="17"/>
              </w:rPr>
              <w:t>Ant Crown</w:t>
            </w:r>
          </w:p>
        </w:tc>
        <w:tc>
          <w:tcPr>
            <w:tcW w:type="dxa" w:w="1440"/>
            <w:vAlign w:val="center"/>
            <w:tcMar>
              <w:top w:w="90" w:type="dxa"/>
              <w:start w:w="120" w:type="dxa"/>
              <w:bottom w:w="90" w:type="dxa"/>
              <w:end w:w="120" w:type="dxa"/>
            </w:tcMar>
          </w:tcPr>
          <w:p>
            <w:pPr>
              <w:jc w:val="center"/>
            </w:pPr>
            <w:r>
              <w:rPr>
                <w:color w:val="10263F"/>
                <w:sz w:val="17"/>
              </w:rPr>
              <w:t>$72,172.80</w:t>
            </w:r>
          </w:p>
        </w:tc>
        <w:tc>
          <w:tcPr>
            <w:tcW w:type="dxa" w:w="1238"/>
            <w:vAlign w:val="center"/>
            <w:tcMar>
              <w:top w:w="90" w:type="dxa"/>
              <w:start w:w="120" w:type="dxa"/>
              <w:bottom w:w="90" w:type="dxa"/>
              <w:end w:w="120" w:type="dxa"/>
            </w:tcMar>
          </w:tcPr>
          <w:p>
            <w:pPr>
              <w:jc w:val="center"/>
            </w:pPr>
            <w:r>
              <w:rPr>
                <w:color w:val="10263F"/>
                <w:sz w:val="17"/>
              </w:rPr>
              <w:t>$3,608.64</w:t>
            </w:r>
          </w:p>
        </w:tc>
        <w:tc>
          <w:tcPr>
            <w:tcW w:type="dxa" w:w="1238"/>
            <w:vAlign w:val="center"/>
            <w:tcMar>
              <w:top w:w="90" w:type="dxa"/>
              <w:start w:w="120" w:type="dxa"/>
              <w:bottom w:w="90" w:type="dxa"/>
              <w:end w:w="120" w:type="dxa"/>
            </w:tcMar>
          </w:tcPr>
          <w:p>
            <w:pPr>
              <w:jc w:val="center"/>
            </w:pPr>
            <w:r>
              <w:rPr>
                <w:color w:val="10263F"/>
                <w:sz w:val="17"/>
              </w:rPr>
              <w:t>$2,886.91</w:t>
            </w:r>
          </w:p>
        </w:tc>
        <w:tc>
          <w:tcPr>
            <w:tcW w:type="dxa" w:w="1238"/>
            <w:vAlign w:val="center"/>
            <w:tcMar>
              <w:top w:w="90" w:type="dxa"/>
              <w:start w:w="120" w:type="dxa"/>
              <w:bottom w:w="90" w:type="dxa"/>
              <w:end w:w="120" w:type="dxa"/>
            </w:tcMar>
          </w:tcPr>
          <w:p>
            <w:pPr>
              <w:jc w:val="center"/>
            </w:pPr>
            <w:r>
              <w:rPr>
                <w:color w:val="10263F"/>
                <w:sz w:val="17"/>
              </w:rPr>
              <w:t>$2,165.18</w:t>
            </w:r>
          </w:p>
        </w:tc>
        <w:tc>
          <w:tcPr>
            <w:tcW w:type="dxa" w:w="1238"/>
            <w:vAlign w:val="center"/>
            <w:tcMar>
              <w:top w:w="90" w:type="dxa"/>
              <w:start w:w="120" w:type="dxa"/>
              <w:bottom w:w="90" w:type="dxa"/>
              <w:end w:w="120" w:type="dxa"/>
            </w:tcMar>
          </w:tcPr>
          <w:p>
            <w:pPr>
              <w:jc w:val="center"/>
            </w:pPr>
            <w:r>
              <w:rPr>
                <w:color w:val="10263F"/>
                <w:sz w:val="17"/>
              </w:rPr>
              <w:t>$1,443.46</w:t>
            </w:r>
          </w:p>
        </w:tc>
        <w:tc>
          <w:tcPr>
            <w:tcW w:type="dxa" w:w="1238"/>
            <w:vAlign w:val="center"/>
            <w:tcMar>
              <w:top w:w="90" w:type="dxa"/>
              <w:start w:w="120" w:type="dxa"/>
              <w:bottom w:w="90" w:type="dxa"/>
              <w:end w:w="120" w:type="dxa"/>
            </w:tcMar>
          </w:tcPr>
          <w:p>
            <w:pPr>
              <w:jc w:val="center"/>
            </w:pPr>
            <w:r>
              <w:rPr>
                <w:color w:val="10263F"/>
                <w:sz w:val="17"/>
              </w:rPr>
              <w:t>$721.73</w:t>
            </w:r>
          </w:p>
        </w:tc>
      </w:tr>
    </w:tbl>
    <w:p>
      <w:pPr>
        <w:spacing w:after="40"/>
      </w:pPr>
    </w:p>
    <w:p>
      <w:pPr>
        <w:pStyle w:val="Heading1"/>
      </w:pPr>
      <w:r>
        <w:t>5. Fourteen earning and benefit categories</w:t>
      </w:r>
    </w:p>
    <w:p>
      <w:pPr>
        <w:keepNext/>
      </w:pPr>
      <w:r>
        <w:rPr>
          <w:b/>
          <w:color w:val="0B5274"/>
          <w:sz w:val="23"/>
        </w:rPr>
        <w:t>01  Board Earnings</w:t>
      </w:r>
    </w:p>
    <w:p>
      <w:pPr>
        <w:ind w:left="504"/>
      </w:pPr>
      <w:r>
        <w:rPr>
          <w:b w:val="0"/>
        </w:rPr>
        <w:t>Cycle. 80% of the eligible board base after operating and collection costs; then apply the existing plan deductions. This is the board lead allocation, not a combined 80% pool for all categories.</w:t>
      </w:r>
      <w:r>
        <w:rPr>
          <w:b w:val="0"/>
        </w:rPr>
      </w:r>
    </w:p>
    <w:p>
      <w:pPr>
        <w:keepNext/>
      </w:pPr>
      <w:r>
        <w:rPr>
          <w:b/>
          <w:color w:val="0B5274"/>
          <w:sz w:val="23"/>
        </w:rPr>
        <w:t>02  Downline Earnings</w:t>
      </w:r>
    </w:p>
    <w:p>
      <w:pPr>
        <w:ind w:left="504"/>
      </w:pPr>
      <w:r>
        <w:rPr>
          <w:b/>
        </w:rPr>
        <w:t xml:space="preserve">5 generations. </w:t>
      </w:r>
      <w:r>
        <w:t>Illustrated 5%, 4%, 3%, 2% and 1% of eligible net board earnings.</w:t>
      </w:r>
    </w:p>
    <w:p>
      <w:pPr>
        <w:keepNext/>
      </w:pPr>
      <w:r>
        <w:rPr>
          <w:b/>
          <w:color w:val="0B5274"/>
          <w:sz w:val="23"/>
        </w:rPr>
        <w:t>03  Sponsor Bonus</w:t>
      </w:r>
    </w:p>
    <w:p>
      <w:pPr>
        <w:ind w:left="504"/>
      </w:pPr>
      <w:r>
        <w:rPr>
          <w:b/>
        </w:rPr>
        <w:t xml:space="preserve">Weekly. </w:t>
      </w:r>
      <w:r>
        <w:t>Illustrated 5% of qualifying member fee or eligible activity.</w:t>
      </w:r>
    </w:p>
    <w:p>
      <w:pPr>
        <w:keepNext/>
      </w:pPr>
      <w:r>
        <w:rPr>
          <w:b/>
          <w:color w:val="0B5274"/>
          <w:sz w:val="23"/>
        </w:rPr>
        <w:t>04  Indirect Bonus</w:t>
      </w:r>
    </w:p>
    <w:p>
      <w:pPr>
        <w:ind w:left="504"/>
      </w:pPr>
      <w:r>
        <w:rPr>
          <w:b w:val="0"/>
        </w:rPr>
        <w:t>Weekly / up to 10 generations. 1% TOTAL of qualifying activity shared equally across eligible active generations, not 1% per generation. Missing or inactive positions do not move other generations forward.</w:t>
      </w:r>
      <w:r>
        <w:rPr>
          <w:b w:val="0"/>
        </w:rPr>
      </w:r>
    </w:p>
    <w:p>
      <w:pPr>
        <w:keepNext/>
      </w:pPr>
      <w:r>
        <w:rPr>
          <w:b/>
          <w:color w:val="0B5274"/>
          <w:sz w:val="23"/>
        </w:rPr>
        <w:t>05  Payment Bonuses</w:t>
      </w:r>
    </w:p>
    <w:p>
      <w:pPr>
        <w:ind w:left="504"/>
      </w:pPr>
      <w:r>
        <w:rPr>
          <w:b/>
        </w:rPr>
        <w:t xml:space="preserve">Weekly. </w:t>
      </w:r>
      <w:r>
        <w:t>Illustrated sponsor 2% and beneficiary 1% allocations.</w:t>
      </w:r>
    </w:p>
    <w:p>
      <w:pPr>
        <w:keepNext/>
      </w:pPr>
      <w:r>
        <w:rPr>
          <w:b/>
          <w:color w:val="0B5274"/>
          <w:sz w:val="23"/>
        </w:rPr>
        <w:t>06  Leadership Bonus</w:t>
      </w:r>
    </w:p>
    <w:p>
      <w:pPr>
        <w:ind w:left="504"/>
      </w:pPr>
      <w:r>
        <w:rPr>
          <w:b w:val="0"/>
        </w:rPr>
        <w:t>Monthly. A 3% pool of the eligible monthly membership-fee base, shared equally among active members with an approved Crown completion. Crown qualification does not expire.</w:t>
      </w:r>
      <w:r>
        <w:rPr>
          <w:b w:val="0"/>
        </w:rPr>
      </w:r>
    </w:p>
    <w:p>
      <w:pPr>
        <w:keepNext/>
      </w:pPr>
      <w:r>
        <w:rPr>
          <w:b/>
          <w:color w:val="0B5274"/>
          <w:sz w:val="23"/>
        </w:rPr>
        <w:t>07  Global Performance Pool</w:t>
      </w:r>
    </w:p>
    <w:p>
      <w:pPr>
        <w:ind w:left="504"/>
      </w:pPr>
      <w:r>
        <w:rPr>
          <w:b w:val="0"/>
        </w:rPr>
        <w:t>Quarterly. A 2% pool of the eligible quarterly membership-fee base, shared equally among active members with an approved Crown completion. Crown qualification does not expire.</w:t>
      </w:r>
      <w:r>
        <w:rPr>
          <w:b w:val="0"/>
        </w:rPr>
      </w:r>
    </w:p>
    <w:p>
      <w:pPr>
        <w:keepNext/>
      </w:pPr>
      <w:r>
        <w:rPr>
          <w:b/>
          <w:color w:val="0B5274"/>
          <w:sz w:val="23"/>
        </w:rPr>
        <w:t>08  Cash Back</w:t>
      </w:r>
    </w:p>
    <w:p>
      <w:pPr>
        <w:ind w:left="504"/>
      </w:pPr>
      <w:r>
        <w:rPr>
          <w:b/>
        </w:rPr>
        <w:t xml:space="preserve">Quarterly. </w:t>
      </w:r>
      <w:r>
        <w:t>Illustrated 1% of qualifying fees paid.</w:t>
      </w:r>
    </w:p>
    <w:p>
      <w:pPr>
        <w:keepNext/>
      </w:pPr>
      <w:r>
        <w:rPr>
          <w:b/>
          <w:color w:val="0B5274"/>
          <w:sz w:val="23"/>
        </w:rPr>
        <w:t>09  Widow Support Fund</w:t>
      </w:r>
    </w:p>
    <w:p>
      <w:pPr>
        <w:ind w:left="504"/>
      </w:pPr>
      <w:r>
        <w:rPr>
          <w:b/>
        </w:rPr>
        <w:t xml:space="preserve">Social impact. </w:t>
      </w:r>
      <w:r>
        <w:t>Illustrated 2% allocation for approved community support.</w:t>
      </w:r>
    </w:p>
    <w:p>
      <w:pPr>
        <w:keepNext/>
      </w:pPr>
      <w:r>
        <w:rPr>
          <w:b/>
          <w:color w:val="0B5274"/>
          <w:sz w:val="23"/>
        </w:rPr>
        <w:t>10  Training Fund</w:t>
      </w:r>
    </w:p>
    <w:p>
      <w:pPr>
        <w:ind w:left="504"/>
      </w:pPr>
      <w:r>
        <w:rPr>
          <w:b/>
        </w:rPr>
        <w:t xml:space="preserve">Social impact. </w:t>
      </w:r>
      <w:r>
        <w:t>Illustrated 2% allocation for education and workshops.</w:t>
      </w:r>
    </w:p>
    <w:p>
      <w:pPr>
        <w:keepNext/>
      </w:pPr>
      <w:r>
        <w:rPr>
          <w:b/>
          <w:color w:val="0B5274"/>
          <w:sz w:val="23"/>
        </w:rPr>
        <w:t>11  Travelling Fund</w:t>
      </w:r>
    </w:p>
    <w:p>
      <w:pPr>
        <w:ind w:left="504"/>
      </w:pPr>
      <w:r>
        <w:rPr>
          <w:b/>
        </w:rPr>
        <w:t xml:space="preserve">Social impact. </w:t>
      </w:r>
      <w:r>
        <w:t>Illustrated 2% allocation for approved development travel.</w:t>
      </w:r>
    </w:p>
    <w:p>
      <w:pPr>
        <w:keepNext/>
      </w:pPr>
      <w:r>
        <w:rPr>
          <w:b/>
          <w:color w:val="0B5274"/>
          <w:sz w:val="23"/>
        </w:rPr>
        <w:t>12  Board Fund</w:t>
      </w:r>
    </w:p>
    <w:p>
      <w:pPr>
        <w:ind w:left="504"/>
      </w:pPr>
      <w:r>
        <w:rPr>
          <w:b/>
        </w:rPr>
        <w:t xml:space="preserve">Sustainability. </w:t>
      </w:r>
      <w:r>
        <w:t>Illustrated 3% allocation supporting board administration.</w:t>
      </w:r>
    </w:p>
    <w:p>
      <w:pPr>
        <w:keepNext/>
      </w:pPr>
      <w:r>
        <w:rPr>
          <w:b/>
          <w:color w:val="0B5274"/>
          <w:sz w:val="23"/>
        </w:rPr>
        <w:t>13  Ant Susu Savings</w:t>
      </w:r>
    </w:p>
    <w:p>
      <w:pPr>
        <w:ind w:left="504"/>
      </w:pPr>
      <w:r>
        <w:rPr>
          <w:b/>
        </w:rPr>
        <w:t xml:space="preserve">Flexible. </w:t>
      </w:r>
      <w:r>
        <w:t>Member savings feature, subject to regulated provider integration.</w:t>
      </w:r>
    </w:p>
    <w:p>
      <w:pPr>
        <w:keepNext/>
      </w:pPr>
      <w:r>
        <w:rPr>
          <w:b/>
          <w:color w:val="0B5274"/>
          <w:sz w:val="23"/>
        </w:rPr>
        <w:t>14  Cycle Earnings</w:t>
      </w:r>
    </w:p>
    <w:p>
      <w:pPr>
        <w:ind w:left="504"/>
      </w:pPr>
      <w:r>
        <w:rPr>
          <w:b w:val="0"/>
        </w:rPr>
        <w:t>Repeat cycles. Completing Crown allows a new Starter cycle. A restart does not create a second award for the same completed board.</w:t>
      </w:r>
      <w:r>
        <w:rPr>
          <w:b w:val="0"/>
        </w:rPr>
      </w:r>
    </w:p>
    <w:p>
      <w:pPr>
        <w:pStyle w:val="Heading1"/>
      </w:pPr>
      <w:r>
        <w:t>6. Bonus formulas and timing</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2376"/>
            <w:shd w:fill="071C31"/>
            <w:tcMar>
              <w:top w:w="90" w:type="dxa"/>
              <w:start w:w="120" w:type="dxa"/>
              <w:bottom w:w="90" w:type="dxa"/>
              <w:end w:w="120" w:type="dxa"/>
            </w:tcMar>
          </w:tcPr>
          <w:p>
            <w:pPr>
              <w:jc w:val="center"/>
            </w:pPr>
            <w:r>
              <w:rPr>
                <w:b/>
                <w:color w:val="FFFFFF"/>
                <w:sz w:val="17"/>
              </w:rPr>
              <w:t>Category</w:t>
            </w:r>
          </w:p>
        </w:tc>
        <w:tc>
          <w:tcPr>
            <w:tcW w:type="dxa" w:w="1584"/>
            <w:shd w:fill="071C31"/>
            <w:tcMar>
              <w:top w:w="90" w:type="dxa"/>
              <w:start w:w="120" w:type="dxa"/>
              <w:bottom w:w="90" w:type="dxa"/>
              <w:end w:w="120" w:type="dxa"/>
            </w:tcMar>
          </w:tcPr>
          <w:p>
            <w:pPr>
              <w:jc w:val="center"/>
            </w:pPr>
            <w:r>
              <w:rPr>
                <w:b/>
                <w:color w:val="FFFFFF"/>
                <w:sz w:val="17"/>
              </w:rPr>
              <w:t>Timing</w:t>
            </w:r>
          </w:p>
        </w:tc>
        <w:tc>
          <w:tcPr>
            <w:tcW w:type="dxa" w:w="5400"/>
            <w:shd w:fill="071C31"/>
            <w:tcMar>
              <w:top w:w="90" w:type="dxa"/>
              <w:start w:w="120" w:type="dxa"/>
              <w:bottom w:w="90" w:type="dxa"/>
              <w:end w:w="120" w:type="dxa"/>
            </w:tcMar>
          </w:tcPr>
          <w:p>
            <w:pPr>
              <w:jc w:val="center"/>
            </w:pPr>
            <w:r>
              <w:rPr>
                <w:b/>
                <w:color w:val="FFFFFF"/>
                <w:sz w:val="17"/>
              </w:rPr>
              <w:t>Supplied illustration</w:t>
            </w:r>
          </w:p>
        </w:tc>
      </w:tr>
      <w:tr>
        <w:tc>
          <w:tcPr>
            <w:tcW w:type="dxa" w:w="2376"/>
            <w:vAlign w:val="center"/>
            <w:tcMar>
              <w:top w:w="90" w:type="dxa"/>
              <w:start w:w="120" w:type="dxa"/>
              <w:bottom w:w="90" w:type="dxa"/>
              <w:end w:w="120" w:type="dxa"/>
            </w:tcMar>
          </w:tcPr>
          <w:p>
            <w:pPr>
              <w:jc w:val="left"/>
            </w:pPr>
            <w:r>
              <w:rPr>
                <w:color w:val="10263F"/>
                <w:sz w:val="17"/>
              </w:rPr>
              <w:t>Sponsor Bonus</w:t>
            </w:r>
          </w:p>
        </w:tc>
        <w:tc>
          <w:tcPr>
            <w:tcW w:type="dxa" w:w="1584"/>
            <w:vAlign w:val="center"/>
            <w:tcMar>
              <w:top w:w="90" w:type="dxa"/>
              <w:start w:w="120" w:type="dxa"/>
              <w:bottom w:w="90" w:type="dxa"/>
              <w:end w:w="120" w:type="dxa"/>
            </w:tcMar>
          </w:tcPr>
          <w:p>
            <w:pPr>
              <w:jc w:val="center"/>
            </w:pPr>
            <w:r>
              <w:rPr>
                <w:color w:val="10263F"/>
                <w:sz w:val="17"/>
              </w:rPr>
              <w:t>Weekly</w:t>
            </w:r>
          </w:p>
        </w:tc>
        <w:tc>
          <w:tcPr>
            <w:tcW w:type="dxa" w:w="5400"/>
            <w:vAlign w:val="center"/>
            <w:tcMar>
              <w:top w:w="90" w:type="dxa"/>
              <w:start w:w="120" w:type="dxa"/>
              <w:bottom w:w="90" w:type="dxa"/>
              <w:end w:w="120" w:type="dxa"/>
            </w:tcMar>
          </w:tcPr>
          <w:p>
            <w:pPr>
              <w:jc w:val="center"/>
            </w:pPr>
            <w:r>
              <w:rPr>
                <w:color w:val="10263F"/>
                <w:sz w:val="17"/>
              </w:rPr>
              <w:t>5% x qualifying member fee or approved activity base</w:t>
            </w:r>
          </w:p>
        </w:tc>
      </w:tr>
      <w:tr>
        <w:tc>
          <w:tcPr>
            <w:tcW w:type="dxa" w:w="2376"/>
            <w:vAlign w:val="center"/>
            <w:tcMar>
              <w:top w:w="90" w:type="dxa"/>
              <w:start w:w="120" w:type="dxa"/>
              <w:bottom w:w="90" w:type="dxa"/>
              <w:end w:w="120" w:type="dxa"/>
            </w:tcMar>
            <w:shd w:fill="F4F7F9"/>
          </w:tcPr>
          <w:p>
            <w:pPr>
              <w:jc w:val="left"/>
            </w:pPr>
            <w:r>
              <w:rPr>
                <w:color w:val="10263F"/>
                <w:sz w:val="17"/>
              </w:rPr>
              <w:t>Indirect Bonus</w:t>
            </w:r>
          </w:p>
        </w:tc>
        <w:tc>
          <w:tcPr>
            <w:tcW w:type="dxa" w:w="1584"/>
            <w:vAlign w:val="center"/>
            <w:tcMar>
              <w:top w:w="90" w:type="dxa"/>
              <w:start w:w="120" w:type="dxa"/>
              <w:bottom w:w="90" w:type="dxa"/>
              <w:end w:w="120" w:type="dxa"/>
            </w:tcMar>
            <w:shd w:fill="F4F7F9"/>
          </w:tcPr>
          <w:p>
            <w:pPr>
              <w:jc w:val="center"/>
            </w:pPr>
            <w:r>
              <w:rPr>
                <w:color w:val="10263F"/>
                <w:sz w:val="17"/>
              </w:rPr>
              <w:t>Weekly</w:t>
            </w:r>
          </w:p>
        </w:tc>
        <w:tc>
          <w:tcPr>
            <w:tcW w:type="dxa" w:w="5400"/>
            <w:vAlign w:val="center"/>
            <w:tcMar>
              <w:top w:w="90" w:type="dxa"/>
              <w:start w:w="120" w:type="dxa"/>
              <w:bottom w:w="90" w:type="dxa"/>
              <w:end w:w="120" w:type="dxa"/>
            </w:tcMar>
            <w:shd w:fill="F4F7F9"/>
          </w:tcPr>
          <w:p>
            <w:pPr>
              <w:jc w:val="center"/>
            </w:pPr>
            <w:r>
              <w:rPr>
                <w:color w:val="10263F"/>
                <w:sz w:val="17"/>
              </w:rPr>
              <w:t>1% TOTAL x qualifying activity, shared equally across eligible active generations up to 10</w:t>
            </w:r>
          </w:p>
        </w:tc>
      </w:tr>
      <w:tr>
        <w:tc>
          <w:tcPr>
            <w:tcW w:type="dxa" w:w="2376"/>
            <w:vAlign w:val="center"/>
            <w:tcMar>
              <w:top w:w="90" w:type="dxa"/>
              <w:start w:w="120" w:type="dxa"/>
              <w:bottom w:w="90" w:type="dxa"/>
              <w:end w:w="120" w:type="dxa"/>
            </w:tcMar>
          </w:tcPr>
          <w:p>
            <w:pPr>
              <w:jc w:val="left"/>
            </w:pPr>
            <w:r>
              <w:rPr>
                <w:color w:val="10263F"/>
                <w:sz w:val="17"/>
              </w:rPr>
              <w:t>Payment Bonuses</w:t>
            </w:r>
          </w:p>
        </w:tc>
        <w:tc>
          <w:tcPr>
            <w:tcW w:type="dxa" w:w="1584"/>
            <w:vAlign w:val="center"/>
            <w:tcMar>
              <w:top w:w="90" w:type="dxa"/>
              <w:start w:w="120" w:type="dxa"/>
              <w:bottom w:w="90" w:type="dxa"/>
              <w:end w:w="120" w:type="dxa"/>
            </w:tcMar>
          </w:tcPr>
          <w:p>
            <w:pPr>
              <w:jc w:val="center"/>
            </w:pPr>
            <w:r>
              <w:rPr>
                <w:color w:val="10263F"/>
                <w:sz w:val="17"/>
              </w:rPr>
              <w:t>Weekly</w:t>
            </w:r>
          </w:p>
        </w:tc>
        <w:tc>
          <w:tcPr>
            <w:tcW w:type="dxa" w:w="5400"/>
            <w:vAlign w:val="center"/>
            <w:tcMar>
              <w:top w:w="90" w:type="dxa"/>
              <w:start w:w="120" w:type="dxa"/>
              <w:bottom w:w="90" w:type="dxa"/>
              <w:end w:w="120" w:type="dxa"/>
            </w:tcMar>
          </w:tcPr>
          <w:p>
            <w:pPr>
              <w:jc w:val="center"/>
            </w:pPr>
            <w:r>
              <w:rPr>
                <w:color w:val="10263F"/>
                <w:sz w:val="17"/>
              </w:rPr>
              <w:t>Sponsor 2%; beneficiary 1% of defined eligible base</w:t>
            </w:r>
          </w:p>
        </w:tc>
      </w:tr>
      <w:tr>
        <w:tc>
          <w:tcPr>
            <w:tcW w:type="dxa" w:w="2376"/>
            <w:vAlign w:val="center"/>
            <w:tcMar>
              <w:top w:w="90" w:type="dxa"/>
              <w:start w:w="120" w:type="dxa"/>
              <w:bottom w:w="90" w:type="dxa"/>
              <w:end w:w="120" w:type="dxa"/>
            </w:tcMar>
            <w:shd w:fill="F4F7F9"/>
          </w:tcPr>
          <w:p>
            <w:pPr>
              <w:jc w:val="left"/>
            </w:pPr>
            <w:r>
              <w:rPr>
                <w:color w:val="10263F"/>
                <w:sz w:val="17"/>
              </w:rPr>
              <w:t>Leadership Bonus</w:t>
            </w:r>
          </w:p>
        </w:tc>
        <w:tc>
          <w:tcPr>
            <w:tcW w:type="dxa" w:w="1584"/>
            <w:vAlign w:val="center"/>
            <w:tcMar>
              <w:top w:w="90" w:type="dxa"/>
              <w:start w:w="120" w:type="dxa"/>
              <w:bottom w:w="90" w:type="dxa"/>
              <w:end w:w="120" w:type="dxa"/>
            </w:tcMar>
            <w:shd w:fill="F4F7F9"/>
          </w:tcPr>
          <w:p>
            <w:pPr>
              <w:jc w:val="center"/>
            </w:pPr>
            <w:r>
              <w:rPr>
                <w:color w:val="10263F"/>
                <w:sz w:val="17"/>
              </w:rPr>
              <w:t>Monthly</w:t>
            </w:r>
          </w:p>
        </w:tc>
        <w:tc>
          <w:tcPr>
            <w:tcW w:type="dxa" w:w="5400"/>
            <w:vAlign w:val="center"/>
            <w:tcMar>
              <w:top w:w="90" w:type="dxa"/>
              <w:start w:w="120" w:type="dxa"/>
              <w:bottom w:w="90" w:type="dxa"/>
              <w:end w:w="120" w:type="dxa"/>
            </w:tcMar>
            <w:shd w:fill="F4F7F9"/>
          </w:tcPr>
          <w:p>
            <w:pPr>
              <w:jc w:val="center"/>
            </w:pPr>
            <w:r>
              <w:rPr>
                <w:color w:val="10263F"/>
                <w:sz w:val="17"/>
              </w:rPr>
              <w:t>3% x eligible monthly fees, equally shared by active Crown-qualified members</w:t>
            </w:r>
          </w:p>
        </w:tc>
      </w:tr>
      <w:tr>
        <w:tc>
          <w:tcPr>
            <w:tcW w:type="dxa" w:w="2376"/>
            <w:vAlign w:val="center"/>
            <w:tcMar>
              <w:top w:w="90" w:type="dxa"/>
              <w:start w:w="120" w:type="dxa"/>
              <w:bottom w:w="90" w:type="dxa"/>
              <w:end w:w="120" w:type="dxa"/>
            </w:tcMar>
          </w:tcPr>
          <w:p>
            <w:pPr>
              <w:jc w:val="left"/>
            </w:pPr>
            <w:r>
              <w:rPr>
                <w:color w:val="10263F"/>
                <w:sz w:val="17"/>
              </w:rPr>
              <w:t>Global Performance Pool</w:t>
            </w:r>
          </w:p>
        </w:tc>
        <w:tc>
          <w:tcPr>
            <w:tcW w:type="dxa" w:w="1584"/>
            <w:vAlign w:val="center"/>
            <w:tcMar>
              <w:top w:w="90" w:type="dxa"/>
              <w:start w:w="120" w:type="dxa"/>
              <w:bottom w:w="90" w:type="dxa"/>
              <w:end w:w="120" w:type="dxa"/>
            </w:tcMar>
          </w:tcPr>
          <w:p>
            <w:pPr>
              <w:jc w:val="center"/>
            </w:pPr>
            <w:r>
              <w:rPr>
                <w:color w:val="10263F"/>
                <w:sz w:val="17"/>
              </w:rPr>
              <w:t>Quarterly</w:t>
            </w:r>
          </w:p>
        </w:tc>
        <w:tc>
          <w:tcPr>
            <w:tcW w:type="dxa" w:w="5400"/>
            <w:vAlign w:val="center"/>
            <w:tcMar>
              <w:top w:w="90" w:type="dxa"/>
              <w:start w:w="120" w:type="dxa"/>
              <w:bottom w:w="90" w:type="dxa"/>
              <w:end w:w="120" w:type="dxa"/>
            </w:tcMar>
          </w:tcPr>
          <w:p>
            <w:pPr>
              <w:jc w:val="center"/>
            </w:pPr>
            <w:r>
              <w:rPr>
                <w:color w:val="10263F"/>
                <w:sz w:val="17"/>
              </w:rPr>
              <w:t>2% x eligible quarterly fees, equally shared by active Crown-qualified members</w:t>
            </w:r>
          </w:p>
        </w:tc>
      </w:tr>
      <w:tr>
        <w:tc>
          <w:tcPr>
            <w:tcW w:type="dxa" w:w="2376"/>
            <w:vAlign w:val="center"/>
            <w:tcMar>
              <w:top w:w="90" w:type="dxa"/>
              <w:start w:w="120" w:type="dxa"/>
              <w:bottom w:w="90" w:type="dxa"/>
              <w:end w:w="120" w:type="dxa"/>
            </w:tcMar>
            <w:shd w:fill="F4F7F9"/>
          </w:tcPr>
          <w:p>
            <w:pPr>
              <w:jc w:val="left"/>
            </w:pPr>
            <w:r>
              <w:rPr>
                <w:color w:val="10263F"/>
                <w:sz w:val="17"/>
              </w:rPr>
              <w:t>Cash Back</w:t>
            </w:r>
          </w:p>
        </w:tc>
        <w:tc>
          <w:tcPr>
            <w:tcW w:type="dxa" w:w="1584"/>
            <w:vAlign w:val="center"/>
            <w:tcMar>
              <w:top w:w="90" w:type="dxa"/>
              <w:start w:w="120" w:type="dxa"/>
              <w:bottom w:w="90" w:type="dxa"/>
              <w:end w:w="120" w:type="dxa"/>
            </w:tcMar>
            <w:shd w:fill="F4F7F9"/>
          </w:tcPr>
          <w:p>
            <w:pPr>
              <w:jc w:val="center"/>
            </w:pPr>
            <w:r>
              <w:rPr>
                <w:color w:val="10263F"/>
                <w:sz w:val="17"/>
              </w:rPr>
              <w:t>Quarterly</w:t>
            </w:r>
          </w:p>
        </w:tc>
        <w:tc>
          <w:tcPr>
            <w:tcW w:type="dxa" w:w="5400"/>
            <w:vAlign w:val="center"/>
            <w:tcMar>
              <w:top w:w="90" w:type="dxa"/>
              <w:start w:w="120" w:type="dxa"/>
              <w:bottom w:w="90" w:type="dxa"/>
              <w:end w:w="120" w:type="dxa"/>
            </w:tcMar>
            <w:shd w:fill="F4F7F9"/>
          </w:tcPr>
          <w:p>
            <w:pPr>
              <w:jc w:val="center"/>
            </w:pPr>
            <w:r>
              <w:rPr>
                <w:color w:val="10263F"/>
                <w:sz w:val="17"/>
              </w:rPr>
              <w:t>1% x qualifying fees paid</w:t>
            </w:r>
          </w:p>
        </w:tc>
      </w:tr>
      <w:tr>
        <w:tc>
          <w:tcPr>
            <w:tcW w:type="dxa" w:w="2376"/>
            <w:vAlign w:val="center"/>
            <w:tcMar>
              <w:top w:w="90" w:type="dxa"/>
              <w:start w:w="120" w:type="dxa"/>
              <w:bottom w:w="90" w:type="dxa"/>
              <w:end w:w="120" w:type="dxa"/>
            </w:tcMar>
          </w:tcPr>
          <w:p>
            <w:pPr>
              <w:jc w:val="left"/>
            </w:pPr>
            <w:r>
              <w:rPr>
                <w:color w:val="10263F"/>
                <w:sz w:val="17"/>
              </w:rPr>
              <w:t>Widow Support Fund</w:t>
            </w:r>
          </w:p>
        </w:tc>
        <w:tc>
          <w:tcPr>
            <w:tcW w:type="dxa" w:w="1584"/>
            <w:vAlign w:val="center"/>
            <w:tcMar>
              <w:top w:w="90" w:type="dxa"/>
              <w:start w:w="120" w:type="dxa"/>
              <w:bottom w:w="90" w:type="dxa"/>
              <w:end w:w="120" w:type="dxa"/>
            </w:tcMar>
          </w:tcPr>
          <w:p>
            <w:pPr>
              <w:jc w:val="center"/>
            </w:pPr>
            <w:r>
              <w:rPr>
                <w:color w:val="10263F"/>
                <w:sz w:val="17"/>
              </w:rPr>
              <w:t>Ongoing</w:t>
            </w:r>
          </w:p>
        </w:tc>
        <w:tc>
          <w:tcPr>
            <w:tcW w:type="dxa" w:w="5400"/>
            <w:vAlign w:val="center"/>
            <w:tcMar>
              <w:top w:w="90" w:type="dxa"/>
              <w:start w:w="120" w:type="dxa"/>
              <w:bottom w:w="90" w:type="dxa"/>
              <w:end w:w="120" w:type="dxa"/>
            </w:tcMar>
          </w:tcPr>
          <w:p>
            <w:pPr>
              <w:jc w:val="center"/>
            </w:pPr>
            <w:r>
              <w:rPr>
                <w:color w:val="10263F"/>
                <w:sz w:val="17"/>
              </w:rPr>
              <w:t>2% x defined eligible membership-fee base</w:t>
            </w:r>
          </w:p>
        </w:tc>
      </w:tr>
      <w:tr>
        <w:tc>
          <w:tcPr>
            <w:tcW w:type="dxa" w:w="2376"/>
            <w:vAlign w:val="center"/>
            <w:tcMar>
              <w:top w:w="90" w:type="dxa"/>
              <w:start w:w="120" w:type="dxa"/>
              <w:bottom w:w="90" w:type="dxa"/>
              <w:end w:w="120" w:type="dxa"/>
            </w:tcMar>
            <w:shd w:fill="F4F7F9"/>
          </w:tcPr>
          <w:p>
            <w:pPr>
              <w:jc w:val="left"/>
            </w:pPr>
            <w:r>
              <w:rPr>
                <w:color w:val="10263F"/>
                <w:sz w:val="17"/>
              </w:rPr>
              <w:t>Training Fund</w:t>
            </w:r>
          </w:p>
        </w:tc>
        <w:tc>
          <w:tcPr>
            <w:tcW w:type="dxa" w:w="1584"/>
            <w:vAlign w:val="center"/>
            <w:tcMar>
              <w:top w:w="90" w:type="dxa"/>
              <w:start w:w="120" w:type="dxa"/>
              <w:bottom w:w="90" w:type="dxa"/>
              <w:end w:w="120" w:type="dxa"/>
            </w:tcMar>
            <w:shd w:fill="F4F7F9"/>
          </w:tcPr>
          <w:p>
            <w:pPr>
              <w:jc w:val="center"/>
            </w:pPr>
            <w:r>
              <w:rPr>
                <w:color w:val="10263F"/>
                <w:sz w:val="17"/>
              </w:rPr>
              <w:t>Ongoing</w:t>
            </w:r>
          </w:p>
        </w:tc>
        <w:tc>
          <w:tcPr>
            <w:tcW w:type="dxa" w:w="5400"/>
            <w:vAlign w:val="center"/>
            <w:tcMar>
              <w:top w:w="90" w:type="dxa"/>
              <w:start w:w="120" w:type="dxa"/>
              <w:bottom w:w="90" w:type="dxa"/>
              <w:end w:w="120" w:type="dxa"/>
            </w:tcMar>
            <w:shd w:fill="F4F7F9"/>
          </w:tcPr>
          <w:p>
            <w:pPr>
              <w:jc w:val="center"/>
            </w:pPr>
            <w:r>
              <w:rPr>
                <w:color w:val="10263F"/>
                <w:sz w:val="17"/>
              </w:rPr>
              <w:t>2% x defined eligible membership-fee base</w:t>
            </w:r>
          </w:p>
        </w:tc>
      </w:tr>
      <w:tr>
        <w:tc>
          <w:tcPr>
            <w:tcW w:type="dxa" w:w="2376"/>
            <w:vAlign w:val="center"/>
            <w:tcMar>
              <w:top w:w="90" w:type="dxa"/>
              <w:start w:w="120" w:type="dxa"/>
              <w:bottom w:w="90" w:type="dxa"/>
              <w:end w:w="120" w:type="dxa"/>
            </w:tcMar>
          </w:tcPr>
          <w:p>
            <w:pPr>
              <w:jc w:val="left"/>
            </w:pPr>
            <w:r>
              <w:rPr>
                <w:color w:val="10263F"/>
                <w:sz w:val="17"/>
              </w:rPr>
              <w:t>Travelling Fund</w:t>
            </w:r>
          </w:p>
        </w:tc>
        <w:tc>
          <w:tcPr>
            <w:tcW w:type="dxa" w:w="1584"/>
            <w:vAlign w:val="center"/>
            <w:tcMar>
              <w:top w:w="90" w:type="dxa"/>
              <w:start w:w="120" w:type="dxa"/>
              <w:bottom w:w="90" w:type="dxa"/>
              <w:end w:w="120" w:type="dxa"/>
            </w:tcMar>
          </w:tcPr>
          <w:p>
            <w:pPr>
              <w:jc w:val="center"/>
            </w:pPr>
            <w:r>
              <w:rPr>
                <w:color w:val="10263F"/>
                <w:sz w:val="17"/>
              </w:rPr>
              <w:t>Ongoing</w:t>
            </w:r>
          </w:p>
        </w:tc>
        <w:tc>
          <w:tcPr>
            <w:tcW w:type="dxa" w:w="5400"/>
            <w:vAlign w:val="center"/>
            <w:tcMar>
              <w:top w:w="90" w:type="dxa"/>
              <w:start w:w="120" w:type="dxa"/>
              <w:bottom w:w="90" w:type="dxa"/>
              <w:end w:w="120" w:type="dxa"/>
            </w:tcMar>
          </w:tcPr>
          <w:p>
            <w:pPr>
              <w:jc w:val="center"/>
            </w:pPr>
            <w:r>
              <w:rPr>
                <w:color w:val="10263F"/>
                <w:sz w:val="17"/>
              </w:rPr>
              <w:t>2% x defined eligible membership-fee base</w:t>
            </w:r>
          </w:p>
        </w:tc>
      </w:tr>
      <w:tr>
        <w:tc>
          <w:tcPr>
            <w:tcW w:type="dxa" w:w="2376"/>
            <w:vAlign w:val="center"/>
            <w:tcMar>
              <w:top w:w="90" w:type="dxa"/>
              <w:start w:w="120" w:type="dxa"/>
              <w:bottom w:w="90" w:type="dxa"/>
              <w:end w:w="120" w:type="dxa"/>
            </w:tcMar>
            <w:shd w:fill="F4F7F9"/>
          </w:tcPr>
          <w:p>
            <w:pPr>
              <w:jc w:val="left"/>
            </w:pPr>
            <w:r>
              <w:rPr>
                <w:color w:val="10263F"/>
                <w:sz w:val="17"/>
              </w:rPr>
              <w:t>Board Fund</w:t>
            </w:r>
          </w:p>
        </w:tc>
        <w:tc>
          <w:tcPr>
            <w:tcW w:type="dxa" w:w="1584"/>
            <w:vAlign w:val="center"/>
            <w:tcMar>
              <w:top w:w="90" w:type="dxa"/>
              <w:start w:w="120" w:type="dxa"/>
              <w:bottom w:w="90" w:type="dxa"/>
              <w:end w:w="120" w:type="dxa"/>
            </w:tcMar>
            <w:shd w:fill="F4F7F9"/>
          </w:tcPr>
          <w:p>
            <w:pPr>
              <w:jc w:val="center"/>
            </w:pPr>
            <w:r>
              <w:rPr>
                <w:color w:val="10263F"/>
                <w:sz w:val="17"/>
              </w:rPr>
              <w:t>Ongoing</w:t>
            </w:r>
          </w:p>
        </w:tc>
        <w:tc>
          <w:tcPr>
            <w:tcW w:type="dxa" w:w="5400"/>
            <w:vAlign w:val="center"/>
            <w:tcMar>
              <w:top w:w="90" w:type="dxa"/>
              <w:start w:w="120" w:type="dxa"/>
              <w:bottom w:w="90" w:type="dxa"/>
              <w:end w:w="120" w:type="dxa"/>
            </w:tcMar>
            <w:shd w:fill="F4F7F9"/>
          </w:tcPr>
          <w:p>
            <w:pPr>
              <w:jc w:val="center"/>
            </w:pPr>
            <w:r>
              <w:rPr>
                <w:color w:val="10263F"/>
                <w:sz w:val="17"/>
              </w:rPr>
              <w:t>3% x defined eligible membership-fee base</w:t>
            </w:r>
          </w:p>
        </w:tc>
      </w:tr>
    </w:tbl>
    <w:p>
      <w:pPr>
        <w:spacing w:after="40"/>
      </w:pPr>
    </w:p>
    <w:tbl>
      <w:tblPr>
        <w:tblW w:type="auto" w:w="0"/>
        <w:tblLayout w:type="fixed"/>
        <w:tblLook w:firstColumn="1" w:firstRow="1" w:lastColumn="0" w:lastRow="0" w:noHBand="0" w:noVBand="1" w:val="04A0"/>
      </w:tblPr>
      <w:tblGrid>
        <w:gridCol w:w="9360"/>
      </w:tblGrid>
      <w:tr>
        <w:trPr>
          <w:cantSplit/>
        </w:trPr>
        <w:tc>
          <w:tcPr>
            <w:tcW w:type="dxa" w:w="9360"/>
            <w:shd w:fill="EAF1F5"/>
            <w:tcMar>
              <w:top w:w="160" w:type="dxa"/>
              <w:start w:w="180" w:type="dxa"/>
              <w:bottom w:w="160" w:type="dxa"/>
              <w:end w:w="180" w:type="dxa"/>
            </w:tcMar>
          </w:tcPr>
          <w:p>
            <w:r>
              <w:rPr>
                <w:b/>
                <w:color w:val="071C31"/>
                <w:sz w:val="22"/>
              </w:rPr>
              <w:t>Funding control</w:t>
              <w:br/>
            </w:r>
            <w:r>
              <w:rPr>
                <w:color w:val="10263F"/>
                <w:sz w:val="20"/>
              </w:rPr>
              <w:t>Before activation, the organization must prove that all bonus and fund allocations can be paid from lawful earned revenue without recycling new-member payments or member savings.</w:t>
            </w:r>
          </w:p>
        </w:tc>
      </w:tr>
    </w:tbl>
    <w:p>
      <w:pPr>
        <w:spacing w:after="40"/>
      </w:pPr>
    </w:p>
    <w:p>
      <w:pPr>
        <w:pStyle w:val="Heading1"/>
      </w:pPr>
      <w:r>
        <w:t>7. Ant Susu savings</w:t>
      </w:r>
    </w:p>
    <w:p>
      <w:r>
        <w:t>The proposed Ant Susu feature allows members to set daily, weekly or monthly savings plans, view transaction history and request withdrawals. A proposed 0.5% maintenance fee must be disclosed before confirmation.</w:t>
      </w:r>
    </w:p>
    <w:p>
      <w:pPr>
        <w:pStyle w:val="ListBullet"/>
      </w:pPr>
      <w:r>
        <w:t>Use a properly licensed custody, banking or payment partner.</w:t>
      </w:r>
    </w:p>
    <w:p>
      <w:pPr>
        <w:pStyle w:val="ListBullet"/>
      </w:pPr>
      <w:r>
        <w:t>Show the fee amount, net deposit, withdrawal timing and any limits before confirmation.</w:t>
      </w:r>
    </w:p>
    <w:p>
      <w:pPr>
        <w:pStyle w:val="ListBullet"/>
      </w:pPr>
      <w:r>
        <w:t>Keep savings funds segregated from operating and compensation accounts.</w:t>
      </w:r>
    </w:p>
    <w:p>
      <w:pPr>
        <w:pStyle w:val="ListBullet"/>
      </w:pPr>
      <w:r>
        <w:t>Provide statements, reconciliation, complaints handling, identity checks and fraud controls.</w:t>
      </w:r>
    </w:p>
    <w:p>
      <w:pPr>
        <w:pStyle w:val="ListBullet"/>
      </w:pPr>
      <w:r>
        <w:t>Do not describe savings as yielding a return unless a regulated product expressly supports it.</w:t>
      </w:r>
    </w:p>
    <w:p>
      <w:pPr>
        <w:pStyle w:val="Heading1"/>
      </w:pPr>
      <w:r>
        <w:t>8. Member dashboard and earning lifecycle</w:t>
      </w:r>
    </w:p>
    <w:p>
      <w:r>
        <w:t>Every potential earning should move through a visible status workflow:</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1728"/>
            <w:shd w:fill="071C31"/>
            <w:tcMar>
              <w:top w:w="90" w:type="dxa"/>
              <w:start w:w="120" w:type="dxa"/>
              <w:bottom w:w="90" w:type="dxa"/>
              <w:end w:w="120" w:type="dxa"/>
            </w:tcMar>
          </w:tcPr>
          <w:p>
            <w:pPr>
              <w:jc w:val="center"/>
            </w:pPr>
            <w:r>
              <w:rPr>
                <w:b/>
                <w:color w:val="FFFFFF"/>
                <w:sz w:val="17"/>
              </w:rPr>
              <w:t>Status</w:t>
            </w:r>
          </w:p>
        </w:tc>
        <w:tc>
          <w:tcPr>
            <w:tcW w:type="dxa" w:w="3384"/>
            <w:shd w:fill="071C31"/>
            <w:tcMar>
              <w:top w:w="90" w:type="dxa"/>
              <w:start w:w="120" w:type="dxa"/>
              <w:bottom w:w="90" w:type="dxa"/>
              <w:end w:w="120" w:type="dxa"/>
            </w:tcMar>
          </w:tcPr>
          <w:p>
            <w:pPr>
              <w:jc w:val="center"/>
            </w:pPr>
            <w:r>
              <w:rPr>
                <w:b/>
                <w:color w:val="FFFFFF"/>
                <w:sz w:val="17"/>
              </w:rPr>
              <w:t>Meaning</w:t>
            </w:r>
          </w:p>
        </w:tc>
        <w:tc>
          <w:tcPr>
            <w:tcW w:type="dxa" w:w="4248"/>
            <w:shd w:fill="071C31"/>
            <w:tcMar>
              <w:top w:w="90" w:type="dxa"/>
              <w:start w:w="120" w:type="dxa"/>
              <w:bottom w:w="90" w:type="dxa"/>
              <w:end w:w="120" w:type="dxa"/>
            </w:tcMar>
          </w:tcPr>
          <w:p>
            <w:pPr>
              <w:jc w:val="center"/>
            </w:pPr>
            <w:r>
              <w:rPr>
                <w:b/>
                <w:color w:val="FFFFFF"/>
                <w:sz w:val="17"/>
              </w:rPr>
              <w:t>Member expectation</w:t>
            </w:r>
          </w:p>
        </w:tc>
      </w:tr>
      <w:tr>
        <w:tc>
          <w:tcPr>
            <w:tcW w:type="dxa" w:w="1728"/>
            <w:vAlign w:val="center"/>
            <w:tcMar>
              <w:top w:w="90" w:type="dxa"/>
              <w:start w:w="120" w:type="dxa"/>
              <w:bottom w:w="90" w:type="dxa"/>
              <w:end w:w="120" w:type="dxa"/>
            </w:tcMar>
          </w:tcPr>
          <w:p>
            <w:pPr>
              <w:jc w:val="left"/>
            </w:pPr>
            <w:r>
              <w:rPr>
                <w:color w:val="10263F"/>
                <w:sz w:val="17"/>
              </w:rPr>
              <w:t>Projected</w:t>
            </w:r>
          </w:p>
        </w:tc>
        <w:tc>
          <w:tcPr>
            <w:tcW w:type="dxa" w:w="3384"/>
            <w:vAlign w:val="center"/>
            <w:tcMar>
              <w:top w:w="90" w:type="dxa"/>
              <w:start w:w="120" w:type="dxa"/>
              <w:bottom w:w="90" w:type="dxa"/>
              <w:end w:w="120" w:type="dxa"/>
            </w:tcMar>
          </w:tcPr>
          <w:p>
            <w:pPr>
              <w:jc w:val="center"/>
            </w:pPr>
            <w:r>
              <w:rPr>
                <w:color w:val="10263F"/>
                <w:sz w:val="17"/>
              </w:rPr>
              <w:t>Planning illustration</w:t>
            </w:r>
          </w:p>
        </w:tc>
        <w:tc>
          <w:tcPr>
            <w:tcW w:type="dxa" w:w="4248"/>
            <w:vAlign w:val="center"/>
            <w:tcMar>
              <w:top w:w="90" w:type="dxa"/>
              <w:start w:w="120" w:type="dxa"/>
              <w:bottom w:w="90" w:type="dxa"/>
              <w:end w:w="120" w:type="dxa"/>
            </w:tcMar>
          </w:tcPr>
          <w:p>
            <w:pPr>
              <w:jc w:val="center"/>
            </w:pPr>
            <w:r>
              <w:rPr>
                <w:color w:val="10263F"/>
                <w:sz w:val="17"/>
              </w:rPr>
              <w:t>Not payable and not guaranteed</w:t>
            </w:r>
          </w:p>
        </w:tc>
      </w:tr>
      <w:tr>
        <w:tc>
          <w:tcPr>
            <w:tcW w:type="dxa" w:w="1728"/>
            <w:vAlign w:val="center"/>
            <w:tcMar>
              <w:top w:w="90" w:type="dxa"/>
              <w:start w:w="120" w:type="dxa"/>
              <w:bottom w:w="90" w:type="dxa"/>
              <w:end w:w="120" w:type="dxa"/>
            </w:tcMar>
            <w:shd w:fill="F4F7F9"/>
          </w:tcPr>
          <w:p>
            <w:pPr>
              <w:jc w:val="left"/>
            </w:pPr>
            <w:r>
              <w:rPr>
                <w:color w:val="10263F"/>
                <w:sz w:val="17"/>
              </w:rPr>
              <w:t>Pending</w:t>
            </w:r>
          </w:p>
        </w:tc>
        <w:tc>
          <w:tcPr>
            <w:tcW w:type="dxa" w:w="3384"/>
            <w:vAlign w:val="center"/>
            <w:tcMar>
              <w:top w:w="90" w:type="dxa"/>
              <w:start w:w="120" w:type="dxa"/>
              <w:bottom w:w="90" w:type="dxa"/>
              <w:end w:w="120" w:type="dxa"/>
            </w:tcMar>
            <w:shd w:fill="F4F7F9"/>
          </w:tcPr>
          <w:p>
            <w:pPr>
              <w:jc w:val="center"/>
            </w:pPr>
            <w:r>
              <w:rPr>
                <w:color w:val="10263F"/>
                <w:sz w:val="17"/>
              </w:rPr>
              <w:t>Evidence submitted or activity recorded</w:t>
            </w:r>
          </w:p>
        </w:tc>
        <w:tc>
          <w:tcPr>
            <w:tcW w:type="dxa" w:w="4248"/>
            <w:vAlign w:val="center"/>
            <w:tcMar>
              <w:top w:w="90" w:type="dxa"/>
              <w:start w:w="120" w:type="dxa"/>
              <w:bottom w:w="90" w:type="dxa"/>
              <w:end w:w="120" w:type="dxa"/>
            </w:tcMar>
            <w:shd w:fill="F4F7F9"/>
          </w:tcPr>
          <w:p>
            <w:pPr>
              <w:jc w:val="center"/>
            </w:pPr>
            <w:r>
              <w:rPr>
                <w:color w:val="10263F"/>
                <w:sz w:val="17"/>
              </w:rPr>
              <w:t>Awaiting verification</w:t>
            </w:r>
          </w:p>
        </w:tc>
      </w:tr>
      <w:tr>
        <w:tc>
          <w:tcPr>
            <w:tcW w:type="dxa" w:w="1728"/>
            <w:vAlign w:val="center"/>
            <w:tcMar>
              <w:top w:w="90" w:type="dxa"/>
              <w:start w:w="120" w:type="dxa"/>
              <w:bottom w:w="90" w:type="dxa"/>
              <w:end w:w="120" w:type="dxa"/>
            </w:tcMar>
          </w:tcPr>
          <w:p>
            <w:pPr>
              <w:jc w:val="left"/>
            </w:pPr>
            <w:r>
              <w:rPr>
                <w:color w:val="10263F"/>
                <w:sz w:val="17"/>
              </w:rPr>
              <w:t>Approved</w:t>
            </w:r>
          </w:p>
        </w:tc>
        <w:tc>
          <w:tcPr>
            <w:tcW w:type="dxa" w:w="3384"/>
            <w:vAlign w:val="center"/>
            <w:tcMar>
              <w:top w:w="90" w:type="dxa"/>
              <w:start w:w="120" w:type="dxa"/>
              <w:bottom w:w="90" w:type="dxa"/>
              <w:end w:w="120" w:type="dxa"/>
            </w:tcMar>
          </w:tcPr>
          <w:p>
            <w:pPr>
              <w:jc w:val="center"/>
            </w:pPr>
            <w:r>
              <w:rPr>
                <w:color w:val="10263F"/>
                <w:sz w:val="17"/>
              </w:rPr>
              <w:t>Eligibility and amount authorized</w:t>
            </w:r>
          </w:p>
        </w:tc>
        <w:tc>
          <w:tcPr>
            <w:tcW w:type="dxa" w:w="4248"/>
            <w:vAlign w:val="center"/>
            <w:tcMar>
              <w:top w:w="90" w:type="dxa"/>
              <w:start w:w="120" w:type="dxa"/>
              <w:bottom w:w="90" w:type="dxa"/>
              <w:end w:w="120" w:type="dxa"/>
            </w:tcMar>
          </w:tcPr>
          <w:p>
            <w:pPr>
              <w:jc w:val="center"/>
            </w:pPr>
            <w:r>
              <w:rPr>
                <w:color w:val="10263F"/>
                <w:sz w:val="17"/>
              </w:rPr>
              <w:t>Scheduled under payment controls</w:t>
            </w:r>
          </w:p>
        </w:tc>
      </w:tr>
      <w:tr>
        <w:tc>
          <w:tcPr>
            <w:tcW w:type="dxa" w:w="1728"/>
            <w:vAlign w:val="center"/>
            <w:tcMar>
              <w:top w:w="90" w:type="dxa"/>
              <w:start w:w="120" w:type="dxa"/>
              <w:bottom w:w="90" w:type="dxa"/>
              <w:end w:w="120" w:type="dxa"/>
            </w:tcMar>
            <w:shd w:fill="F4F7F9"/>
          </w:tcPr>
          <w:p>
            <w:pPr>
              <w:jc w:val="left"/>
            </w:pPr>
            <w:r>
              <w:rPr>
                <w:color w:val="10263F"/>
                <w:sz w:val="17"/>
              </w:rPr>
              <w:t>Paid</w:t>
            </w:r>
          </w:p>
        </w:tc>
        <w:tc>
          <w:tcPr>
            <w:tcW w:type="dxa" w:w="3384"/>
            <w:vAlign w:val="center"/>
            <w:tcMar>
              <w:top w:w="90" w:type="dxa"/>
              <w:start w:w="120" w:type="dxa"/>
              <w:bottom w:w="90" w:type="dxa"/>
              <w:end w:w="120" w:type="dxa"/>
            </w:tcMar>
            <w:shd w:fill="F4F7F9"/>
          </w:tcPr>
          <w:p>
            <w:pPr>
              <w:jc w:val="center"/>
            </w:pPr>
            <w:r>
              <w:rPr>
                <w:color w:val="10263F"/>
                <w:sz w:val="17"/>
              </w:rPr>
              <w:t>Disbursement completed and recorded</w:t>
            </w:r>
          </w:p>
        </w:tc>
        <w:tc>
          <w:tcPr>
            <w:tcW w:type="dxa" w:w="4248"/>
            <w:vAlign w:val="center"/>
            <w:tcMar>
              <w:top w:w="90" w:type="dxa"/>
              <w:start w:w="120" w:type="dxa"/>
              <w:bottom w:w="90" w:type="dxa"/>
              <w:end w:w="120" w:type="dxa"/>
            </w:tcMar>
            <w:shd w:fill="F4F7F9"/>
          </w:tcPr>
          <w:p>
            <w:pPr>
              <w:jc w:val="center"/>
            </w:pPr>
            <w:r>
              <w:rPr>
                <w:color w:val="10263F"/>
                <w:sz w:val="17"/>
              </w:rPr>
              <w:t>Receipt and ledger entry available</w:t>
            </w:r>
          </w:p>
        </w:tc>
      </w:tr>
    </w:tbl>
    <w:p>
      <w:pPr>
        <w:spacing w:after="40"/>
      </w:pPr>
    </w:p>
    <w:p>
      <w:r>
        <w:t>Use the member portal to review recorded status and activity. Current amounts are simulations. Paid means a recorded test settlement, not a bank transfer. USD and GHS displays for an earning represent the same earning and cannot be withdrawn twice.</w:t>
      </w:r>
    </w:p>
    <w:p>
      <w:pPr>
        <w:pStyle w:val="Heading1"/>
      </w:pPr>
      <w:r>
        <w:t>9. Eligibility and administration</w:t>
      </w:r>
    </w:p>
    <w:p>
      <w:pPr>
        <w:pStyle w:val="ListBullet"/>
      </w:pPr>
      <w:r>
        <w:t>A valid member account with completed identity and contact information.</w:t>
      </w:r>
    </w:p>
    <w:p>
      <w:pPr>
        <w:pStyle w:val="ListBullet"/>
      </w:pPr>
      <w:r>
        <w:t>An active membership status under published rules.</w:t>
      </w:r>
    </w:p>
    <w:p>
      <w:pPr>
        <w:pStyle w:val="ListBullet"/>
      </w:pPr>
      <w:r>
        <w:t>Verifiable eligible product, service, course or approved program activity.</w:t>
      </w:r>
    </w:p>
    <w:p>
      <w:pPr>
        <w:pStyle w:val="ListBullet"/>
      </w:pPr>
      <w:r>
        <w:t>No duplicate, self-funded, fictitious or manipulated transactions.</w:t>
      </w:r>
    </w:p>
    <w:p>
      <w:pPr>
        <w:pStyle w:val="ListBullet"/>
      </w:pPr>
      <w:r>
        <w:t>No payment before required cooling-off, refund or chargeback windows close.</w:t>
      </w:r>
    </w:p>
    <w:p>
      <w:pPr>
        <w:pStyle w:val="ListBullet"/>
      </w:pPr>
      <w:r>
        <w:t>Administrator review with an auditable decision record.</w:t>
      </w:r>
    </w:p>
    <w:p>
      <w:pPr>
        <w:pStyle w:val="Heading2"/>
      </w:pPr>
      <w:r>
        <w:t>Administrator controls</w:t>
      </w:r>
    </w:p>
    <w:p>
      <w:r>
        <w:t>Authorized administrators may review evidence, approve or reject activity, change board status after verified completion, record deductions, schedule payments, reverse erroneous entries and export audit reports. High-value approvals should require dual authorization.</w:t>
      </w:r>
    </w:p>
    <w:p>
      <w:pPr>
        <w:pStyle w:val="Heading1"/>
      </w:pPr>
      <w:r>
        <w:t>10. Marketing and member communications</w:t>
      </w:r>
    </w:p>
    <w:p>
      <w:r>
        <w:t>Approved headline: 'The Ant Wealth Ecosystem offers 14 potential ways to benefit and earn.'</w:t>
      </w:r>
    </w:p>
    <w:tbl>
      <w:tblPr>
        <w:tblW w:type="auto" w:w="0"/>
        <w:tblLayout w:type="fixed"/>
        <w:tblLook w:firstColumn="1" w:firstRow="1" w:lastColumn="0" w:lastRow="0" w:noHBand="0" w:noVBand="1" w:val="04A0"/>
      </w:tblPr>
      <w:tblGrid>
        <w:gridCol w:w="9360"/>
      </w:tblGrid>
      <w:tr>
        <w:trPr>
          <w:cantSplit/>
        </w:trPr>
        <w:tc>
          <w:tcPr>
            <w:tcW w:type="dxa" w:w="9360"/>
            <w:shd w:fill="FDECEC"/>
            <w:tcMar>
              <w:top w:w="160" w:type="dxa"/>
              <w:start w:w="180" w:type="dxa"/>
              <w:bottom w:w="160" w:type="dxa"/>
              <w:end w:w="180" w:type="dxa"/>
            </w:tcMar>
          </w:tcPr>
          <w:p>
            <w:r>
              <w:rPr>
                <w:b/>
                <w:color w:val="071C31"/>
                <w:sz w:val="22"/>
              </w:rPr>
              <w:t>Do not say</w:t>
              <w:br/>
            </w:r>
            <w:r>
              <w:rPr>
                <w:color w:val="10263F"/>
                <w:sz w:val="20"/>
              </w:rPr>
              <w:t>Guaranteed income; risk-free earnings; automatic profit; everyone gets paid; recruit two and earn forever; government-approved unless documented; or any fixed tax claim not confirmed by a qualified adviser.</w:t>
            </w:r>
          </w:p>
        </w:tc>
      </w:tr>
    </w:tbl>
    <w:p>
      <w:pPr>
        <w:spacing w:after="40"/>
      </w:pPr>
    </w:p>
    <w:tbl>
      <w:tblPr>
        <w:tblW w:type="auto" w:w="0"/>
        <w:tblLayout w:type="fixed"/>
        <w:tblLook w:firstColumn="1" w:firstRow="1" w:lastColumn="0" w:lastRow="0" w:noHBand="0" w:noVBand="1" w:val="04A0"/>
      </w:tblPr>
      <w:tblGrid>
        <w:gridCol w:w="9360"/>
      </w:tblGrid>
      <w:tr>
        <w:trPr>
          <w:cantSplit/>
        </w:trPr>
        <w:tc>
          <w:tcPr>
            <w:tcW w:type="dxa" w:w="9360"/>
            <w:shd w:fill="E5F3EB"/>
            <w:tcMar>
              <w:top w:w="160" w:type="dxa"/>
              <w:start w:w="180" w:type="dxa"/>
              <w:bottom w:w="160" w:type="dxa"/>
              <w:end w:w="180" w:type="dxa"/>
            </w:tcMar>
          </w:tcPr>
          <w:p>
            <w:r>
              <w:rPr>
                <w:b/>
                <w:color w:val="071C31"/>
                <w:sz w:val="22"/>
              </w:rPr>
              <w:t>Do say</w:t>
              <w:br/>
            </w:r>
            <w:r>
              <w:rPr>
                <w:color w:val="10263F"/>
                <w:sz w:val="20"/>
              </w:rPr>
              <w:t>Potential earnings depend on eligibility, verified activity, approved rules, earned revenue, fees, taxes and applicable law. Member savings are not used to pay another member's reward.</w:t>
            </w:r>
          </w:p>
        </w:tc>
      </w:tr>
    </w:tbl>
    <w:p>
      <w:pPr>
        <w:spacing w:after="40"/>
      </w:pPr>
    </w:p>
    <w:p>
      <w:pPr>
        <w:pStyle w:val="Heading1"/>
      </w:pPr>
      <w:r>
        <w:t>11. Pre-launch approval checklist</w:t>
      </w:r>
    </w:p>
    <w:p>
      <w:pPr>
        <w:pStyle w:val="ListBullet"/>
      </w:pPr>
      <w:r>
        <w:t>Obtain Ghana legal advice on direct selling, consumer protection, securities, payments, data protection and tax.</w:t>
      </w:r>
    </w:p>
    <w:p>
      <w:pPr>
        <w:pStyle w:val="ListBullet"/>
      </w:pPr>
      <w:r>
        <w:t>Confirm the legal entity, contracts, refund policy, privacy notice and complaints process.</w:t>
      </w:r>
    </w:p>
    <w:p>
      <w:pPr>
        <w:pStyle w:val="ListBullet"/>
      </w:pPr>
      <w:r>
        <w:t>Complete a revenue-coverage model and independent compensation-plan review.</w:t>
      </w:r>
    </w:p>
    <w:p>
      <w:pPr>
        <w:pStyle w:val="ListBullet"/>
      </w:pPr>
      <w:r>
        <w:t>Contract with appropriately licensed payments and savings providers.</w:t>
      </w:r>
    </w:p>
    <w:p>
      <w:pPr>
        <w:pStyle w:val="ListBullet"/>
      </w:pPr>
      <w:r>
        <w:t>Run a simulated-money pilot and reconcile every ledger path.</w:t>
      </w:r>
    </w:p>
    <w:p>
      <w:pPr>
        <w:pStyle w:val="ListBullet"/>
      </w:pPr>
      <w:r>
        <w:t>Approve marketing claims, training materials and administrator access controls.</w:t>
      </w:r>
    </w:p>
    <w:p>
      <w:pPr>
        <w:pStyle w:val="ListBullet"/>
      </w:pPr>
      <w:r>
        <w:t>Publish final eligibility, deductions, tax treatment, payout calendar and change-notice rules.</w:t>
      </w:r>
    </w:p>
    <w:p>
      <w:r/>
    </w:p>
    <w:p>
      <w:pPr>
        <w:pStyle w:val="Heading1"/>
      </w:pPr>
      <w:r>
        <w:t>12. Final statement</w:t>
      </w:r>
    </w:p>
    <w:p>
      <w:r>
        <w:t>TX Wealth intends to support learning, enterprise development, disciplined savings and community advancement. The compensation plan can only be sustainable when customer value, earned revenue, transparent controls and member protection come before recruitment volume. This booklet should be adopted only after qualified professional review and formal organizational approval.</w:t>
      </w:r>
    </w:p>
    <w:p>
      <w:r>
        <w:t>Document status: Owner-confirmed compensation rules for the public test system at https://wealth.tinkextra.com, updated 25 September 2026. Live payments and payouts are not enabled. Professional review remains necessary before a real-money launch.</w:t>
      </w:r>
    </w:p>
    <w:p>
      <w:r>
        <w:br w:type="page"/>
      </w:r>
    </w:p>
    <w:p>
      <w:pPr>
        <w:pStyle w:val="Heading1"/>
      </w:pPr>
      <w:r>
        <w:t>13 Confirmed rules for the public test</w:t>
      </w:r>
    </w:p>
    <w:p>
      <w:pPr>
        <w:pStyle w:val="Heading2"/>
      </w:pPr>
      <w:r>
        <w:t>Cost and fee treatment</w:t>
      </w:r>
    </w:p>
    <w:p>
      <w:r>
        <w:t>Deduct documented operating and incoming collection costs before the 80% board lead allocation. Do not subtract collection costs twice if the receipt is already net. Apply the existing 0.5% plan processing fee, 10% tax illustration and 30% next-board allocation on Boards 1 to 4 to the lead amount. Crown has no next-board allocation. The 10% line is an unverified planning assumption, not a statement of the applicable tax rate.</w:t>
      </w:r>
    </w:p>
    <w:p>
      <w:pPr>
        <w:pStyle w:val="Heading2"/>
      </w:pPr>
      <w:r>
        <w:t>Board example with operating costs</w:t>
      </w:r>
    </w:p>
    <w:p>
      <w:r>
        <w:t>For a synthetic Starter board revenue of USD 300 and documented operating/collection costs of USD 20, the eligible base is USD 280. The 80% lead is USD 224. Illustrative deductions are USD 1.12 processing, USD 22.40 tax and USD 67.20 next-board allocation, leaving USD 133.28. The original USD 142.80 table result assumes zero operating/collection costs.</w:t>
      </w:r>
    </w:p>
    <w:p>
      <w:pPr>
        <w:pStyle w:val="Heading2"/>
      </w:pPr>
      <w:r>
        <w:t>Member paid payout fees</w:t>
      </w:r>
    </w:p>
    <w:p>
      <w:r>
        <w:t>For a future live withdrawal, the member pays the actual bank or provider payout fee. Show the amount, actual fee and net payout before confirmation. Do not charge the plan processing fee again if it was already deducted from the earning. Current test withdrawals use a simulated zero provider fee.</w:t>
      </w:r>
    </w:p>
    <w:p>
      <w:pPr>
        <w:pStyle w:val="Heading2"/>
      </w:pPr>
      <w:r>
        <w:t>Approvals and schedules</w:t>
      </w:r>
    </w:p>
    <w:p>
      <w:r>
        <w:t>Weekly draft generation runs after the completed week; monthly and quarterly drafts use completed UTC calendar periods. These schedules generate drafts only. Administrators still review and approve them. Duplicate source rewards are blocked. A pending record is not payable; an approved earmarked fund is never a personal earning.</w:t>
      </w:r>
    </w:p>
    <w:p>
      <w:pPr>
        <w:pStyle w:val="Heading2"/>
      </w:pPr>
      <w:r>
        <w:t>Equal shares and qualification</w:t>
      </w:r>
    </w:p>
    <w:p>
      <w:r>
        <w:t>Indirect, leadership and global pools use equal shares. Remaining cents are assigned by ascending member number. Leadership/global recipients must have an approved fifth-board Crown completion and be active when calculated; no new Crown completion is required each period. This is not a promise of lifetime payments.</w:t>
      </w:r>
    </w:p>
    <w:p>
      <w:pPr>
        <w:pStyle w:val="Heading2"/>
      </w:pPr>
      <w:r>
        <w:t>Current capability boundary</w:t>
      </w:r>
    </w:p>
    <w:p>
      <w:r>
        <w:t>Items 2 to 12 have test calculations and review workflows; item 13 has simulated savings; item 14 has sequential administrator-attested cycle records. This is not a fully automatic board placement system. Provider payouts, real savings custody, a full buy/sell marketplace and external affiliate-provider integrations are not available. Do not collect real money in this test.</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Plan illustration - legal and regulatory review required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0B5274"/>
      </w:rPr>
      <w:t>TX WEALTH CREATION ECOSYSTEM  |  COMPENSATION PLAN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color w:val="10263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0B5274"/>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0B5274"/>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071C3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Theme="majorHAnsi" w:eastAsiaTheme="majorEastAsia" w:hAnsiTheme="majorHAnsi" w:cstheme="majorBidi" w:ascii="Calibri" w:hAnsi="Calibri"/>
      <w:b/>
      <w:color w:val="071C31"/>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Calibri" w:hAnsi="Calibri"/>
      <w:b w:val="0"/>
      <w:i/>
      <w:iCs/>
      <w:color w:val="0B5274"/>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